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 8-K</w:t>
      </w:r>
    </w:p>
    <w:p>
      <w:pPr>
        <w:spacing w:after="0" w:line="262"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1"/>
          <w:szCs w:val="11"/>
          <w:b w:val="1"/>
          <w:bCs w:val="1"/>
          <w:color w:val="auto"/>
        </w:rPr>
        <w:t>CURRENT REPORT</w:t>
      </w:r>
    </w:p>
    <w:p>
      <w:pPr>
        <w:spacing w:after="0" w:line="1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1"/>
          <w:szCs w:val="11"/>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Date of Report (Date of earliest event reported): 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3406775</wp:posOffset>
            </wp:positionH>
            <wp:positionV relativeFrom="paragraph">
              <wp:posOffset>178435</wp:posOffset>
            </wp:positionV>
            <wp:extent cx="354330" cy="422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4330" cy="422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i3 Verticals, Inc.</w:t>
      </w:r>
    </w:p>
    <w:p>
      <w:pPr>
        <w:spacing w:after="0" w:line="36"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8"/>
          <w:szCs w:val="8"/>
          <w:b w:val="1"/>
          <w:bCs w:val="1"/>
          <w:color w:val="auto"/>
        </w:rPr>
        <w:t>(Exact name of registrant as specified in its charter)</w:t>
      </w:r>
    </w:p>
    <w:p>
      <w:pPr>
        <w:spacing w:after="0" w:line="200" w:lineRule="exact"/>
        <w:rPr>
          <w:sz w:val="24"/>
          <w:szCs w:val="24"/>
          <w:color w:val="auto"/>
        </w:rPr>
      </w:pPr>
    </w:p>
    <w:p>
      <w:pPr>
        <w:spacing w:after="0" w:line="334" w:lineRule="exact"/>
        <w:rPr>
          <w:sz w:val="24"/>
          <w:szCs w:val="24"/>
          <w:color w:val="auto"/>
        </w:rPr>
      </w:pPr>
    </w:p>
    <w:tbl>
      <w:tblPr>
        <w:tblLayout w:type="fixed"/>
        <w:tblInd w:w="1480" w:type="dxa"/>
        <w:tblCellMar>
          <w:top w:w="0" w:type="dxa"/>
          <w:left w:w="0" w:type="dxa"/>
          <w:bottom w:w="0" w:type="dxa"/>
          <w:right w:w="0" w:type="dxa"/>
        </w:tblCellMar>
      </w:tblPr>
      <w:tr>
        <w:trPr>
          <w:trHeight w:val="125"/>
        </w:trPr>
        <w:tc>
          <w:tcPr>
            <w:tcW w:w="1260" w:type="dxa"/>
            <w:vAlign w:val="bottom"/>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3"/>
              </w:rPr>
              <w:t>Delaware</w:t>
            </w:r>
          </w:p>
        </w:tc>
        <w:tc>
          <w:tcPr>
            <w:tcW w:w="5160" w:type="dxa"/>
            <w:vAlign w:val="bottom"/>
          </w:tcPr>
          <w:p>
            <w:pPr>
              <w:ind w:left="2800"/>
              <w:spacing w:after="0"/>
              <w:rPr>
                <w:sz w:val="20"/>
                <w:szCs w:val="20"/>
                <w:color w:val="auto"/>
              </w:rPr>
            </w:pPr>
            <w:r>
              <w:rPr>
                <w:rFonts w:ascii="Times New Roman" w:cs="Times New Roman" w:eastAsia="Times New Roman" w:hAnsi="Times New Roman"/>
                <w:sz w:val="10"/>
                <w:szCs w:val="10"/>
                <w:b w:val="1"/>
                <w:bCs w:val="1"/>
                <w:color w:val="auto"/>
              </w:rPr>
              <w:t>001-38532</w:t>
            </w:r>
          </w:p>
        </w:tc>
        <w:tc>
          <w:tcPr>
            <w:tcW w:w="18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82-4052852</w:t>
            </w:r>
          </w:p>
        </w:tc>
      </w:tr>
      <w:tr>
        <w:trPr>
          <w:trHeight w:val="89"/>
        </w:trPr>
        <w:tc>
          <w:tcPr>
            <w:tcW w:w="1260" w:type="dxa"/>
            <w:vAlign w:val="bottom"/>
          </w:tcPr>
          <w:p>
            <w:pPr>
              <w:jc w:val="center"/>
              <w:ind w:right="360"/>
              <w:spacing w:after="0"/>
              <w:rPr>
                <w:sz w:val="20"/>
                <w:szCs w:val="20"/>
                <w:color w:val="auto"/>
              </w:rPr>
            </w:pPr>
            <w:r>
              <w:rPr>
                <w:rFonts w:ascii="Times New Roman" w:cs="Times New Roman" w:eastAsia="Times New Roman" w:hAnsi="Times New Roman"/>
                <w:sz w:val="7"/>
                <w:szCs w:val="7"/>
                <w:b w:val="1"/>
                <w:bCs w:val="1"/>
                <w:color w:val="auto"/>
              </w:rPr>
              <w:t>(State or Other Jurisdiction</w:t>
            </w:r>
          </w:p>
        </w:tc>
        <w:tc>
          <w:tcPr>
            <w:tcW w:w="5160" w:type="dxa"/>
            <w:vAlign w:val="bottom"/>
          </w:tcPr>
          <w:p>
            <w:pPr>
              <w:ind w:left="2820"/>
              <w:spacing w:after="0"/>
              <w:rPr>
                <w:sz w:val="20"/>
                <w:szCs w:val="20"/>
                <w:color w:val="auto"/>
              </w:rPr>
            </w:pPr>
            <w:r>
              <w:rPr>
                <w:rFonts w:ascii="Times New Roman" w:cs="Times New Roman" w:eastAsia="Times New Roman" w:hAnsi="Times New Roman"/>
                <w:sz w:val="7"/>
                <w:szCs w:val="7"/>
                <w:b w:val="1"/>
                <w:bCs w:val="1"/>
                <w:color w:val="auto"/>
              </w:rPr>
              <w:t>(Commission</w:t>
            </w:r>
          </w:p>
        </w:tc>
        <w:tc>
          <w:tcPr>
            <w:tcW w:w="1860" w:type="dxa"/>
            <w:vAlign w:val="bottom"/>
          </w:tcPr>
          <w:p>
            <w:pPr>
              <w:jc w:val="center"/>
              <w:ind w:left="1259"/>
              <w:spacing w:after="0"/>
              <w:rPr>
                <w:sz w:val="20"/>
                <w:szCs w:val="20"/>
                <w:color w:val="auto"/>
              </w:rPr>
            </w:pPr>
            <w:r>
              <w:rPr>
                <w:rFonts w:ascii="Times New Roman" w:cs="Times New Roman" w:eastAsia="Times New Roman" w:hAnsi="Times New Roman"/>
                <w:sz w:val="7"/>
                <w:szCs w:val="7"/>
                <w:b w:val="1"/>
                <w:bCs w:val="1"/>
                <w:color w:val="auto"/>
              </w:rPr>
              <w:t>(I.R.S. Employer</w:t>
            </w:r>
          </w:p>
        </w:tc>
      </w:tr>
      <w:tr>
        <w:trPr>
          <w:trHeight w:val="94"/>
        </w:trPr>
        <w:tc>
          <w:tcPr>
            <w:tcW w:w="1260" w:type="dxa"/>
            <w:vAlign w:val="bottom"/>
          </w:tcPr>
          <w:p>
            <w:pPr>
              <w:jc w:val="center"/>
              <w:ind w:right="360"/>
              <w:spacing w:after="0"/>
              <w:rPr>
                <w:sz w:val="20"/>
                <w:szCs w:val="20"/>
                <w:color w:val="auto"/>
              </w:rPr>
            </w:pPr>
            <w:r>
              <w:rPr>
                <w:rFonts w:ascii="Times New Roman" w:cs="Times New Roman" w:eastAsia="Times New Roman" w:hAnsi="Times New Roman"/>
                <w:sz w:val="7"/>
                <w:szCs w:val="7"/>
                <w:b w:val="1"/>
                <w:bCs w:val="1"/>
                <w:color w:val="auto"/>
              </w:rPr>
              <w:t>of Incorporation)</w:t>
            </w:r>
          </w:p>
        </w:tc>
        <w:tc>
          <w:tcPr>
            <w:tcW w:w="5160" w:type="dxa"/>
            <w:vAlign w:val="bottom"/>
          </w:tcPr>
          <w:p>
            <w:pPr>
              <w:ind w:left="2800"/>
              <w:spacing w:after="0"/>
              <w:rPr>
                <w:sz w:val="20"/>
                <w:szCs w:val="20"/>
                <w:color w:val="auto"/>
              </w:rPr>
            </w:pPr>
            <w:r>
              <w:rPr>
                <w:rFonts w:ascii="Times New Roman" w:cs="Times New Roman" w:eastAsia="Times New Roman" w:hAnsi="Times New Roman"/>
                <w:sz w:val="7"/>
                <w:szCs w:val="7"/>
                <w:b w:val="1"/>
                <w:bCs w:val="1"/>
                <w:color w:val="auto"/>
              </w:rPr>
              <w:t>File Number)</w:t>
            </w:r>
          </w:p>
        </w:tc>
        <w:tc>
          <w:tcPr>
            <w:tcW w:w="1860" w:type="dxa"/>
            <w:vAlign w:val="bottom"/>
          </w:tcPr>
          <w:p>
            <w:pPr>
              <w:jc w:val="center"/>
              <w:ind w:left="1259"/>
              <w:spacing w:after="0"/>
              <w:rPr>
                <w:sz w:val="20"/>
                <w:szCs w:val="20"/>
                <w:color w:val="auto"/>
              </w:rPr>
            </w:pPr>
            <w:r>
              <w:rPr>
                <w:rFonts w:ascii="Times New Roman" w:cs="Times New Roman" w:eastAsia="Times New Roman" w:hAnsi="Times New Roman"/>
                <w:sz w:val="7"/>
                <w:szCs w:val="7"/>
                <w:b w:val="1"/>
                <w:bCs w:val="1"/>
                <w:color w:val="auto"/>
              </w:rPr>
              <w:t>Identification No.)</w:t>
            </w:r>
          </w:p>
        </w:tc>
      </w:tr>
      <w:tr>
        <w:trPr>
          <w:trHeight w:val="222"/>
        </w:trPr>
        <w:tc>
          <w:tcPr>
            <w:tcW w:w="1260" w:type="dxa"/>
            <w:vAlign w:val="bottom"/>
          </w:tcPr>
          <w:p>
            <w:pPr>
              <w:spacing w:after="0"/>
              <w:rPr>
                <w:sz w:val="19"/>
                <w:szCs w:val="19"/>
                <w:color w:val="auto"/>
              </w:rPr>
            </w:pPr>
          </w:p>
        </w:tc>
        <w:tc>
          <w:tcPr>
            <w:tcW w:w="5160" w:type="dxa"/>
            <w:vAlign w:val="bottom"/>
          </w:tcPr>
          <w:p>
            <w:pPr>
              <w:jc w:val="center"/>
              <w:ind w:right="3038"/>
              <w:spacing w:after="0"/>
              <w:rPr>
                <w:sz w:val="20"/>
                <w:szCs w:val="20"/>
                <w:color w:val="auto"/>
              </w:rPr>
            </w:pPr>
            <w:r>
              <w:rPr>
                <w:rFonts w:ascii="Times New Roman" w:cs="Times New Roman" w:eastAsia="Times New Roman" w:hAnsi="Times New Roman"/>
                <w:sz w:val="10"/>
                <w:szCs w:val="10"/>
                <w:b w:val="1"/>
                <w:bCs w:val="1"/>
                <w:color w:val="auto"/>
                <w:w w:val="94"/>
              </w:rPr>
              <w:t>40 Burton Hills Blvd., Suite 415</w:t>
            </w:r>
          </w:p>
        </w:tc>
        <w:tc>
          <w:tcPr>
            <w:tcW w:w="1860" w:type="dxa"/>
            <w:vAlign w:val="bottom"/>
          </w:tcPr>
          <w:p>
            <w:pPr>
              <w:spacing w:after="0"/>
              <w:rPr>
                <w:sz w:val="19"/>
                <w:szCs w:val="19"/>
                <w:color w:val="auto"/>
              </w:rPr>
            </w:pPr>
          </w:p>
        </w:tc>
      </w:tr>
      <w:tr>
        <w:trPr>
          <w:trHeight w:val="134"/>
        </w:trPr>
        <w:tc>
          <w:tcPr>
            <w:tcW w:w="1260" w:type="dxa"/>
            <w:vAlign w:val="bottom"/>
          </w:tcPr>
          <w:p>
            <w:pPr>
              <w:spacing w:after="0"/>
              <w:rPr>
                <w:sz w:val="11"/>
                <w:szCs w:val="11"/>
                <w:color w:val="auto"/>
              </w:rPr>
            </w:pPr>
          </w:p>
        </w:tc>
        <w:tc>
          <w:tcPr>
            <w:tcW w:w="5160" w:type="dxa"/>
            <w:vAlign w:val="bottom"/>
          </w:tcPr>
          <w:p>
            <w:pPr>
              <w:jc w:val="center"/>
              <w:ind w:right="3038"/>
              <w:spacing w:after="0"/>
              <w:rPr>
                <w:sz w:val="20"/>
                <w:szCs w:val="20"/>
                <w:color w:val="auto"/>
              </w:rPr>
            </w:pPr>
            <w:r>
              <w:rPr>
                <w:rFonts w:ascii="Times New Roman" w:cs="Times New Roman" w:eastAsia="Times New Roman" w:hAnsi="Times New Roman"/>
                <w:sz w:val="10"/>
                <w:szCs w:val="10"/>
                <w:b w:val="1"/>
                <w:bCs w:val="1"/>
                <w:color w:val="auto"/>
                <w:w w:val="95"/>
              </w:rPr>
              <w:t>Nashville, TN</w:t>
            </w:r>
          </w:p>
        </w:tc>
        <w:tc>
          <w:tcPr>
            <w:tcW w:w="1860" w:type="dxa"/>
            <w:vAlign w:val="bottom"/>
          </w:tcPr>
          <w:p>
            <w:pPr>
              <w:jc w:val="right"/>
              <w:ind w:right="119"/>
              <w:spacing w:after="0"/>
              <w:rPr>
                <w:sz w:val="20"/>
                <w:szCs w:val="20"/>
                <w:color w:val="auto"/>
              </w:rPr>
            </w:pPr>
            <w:r>
              <w:rPr>
                <w:rFonts w:ascii="Times New Roman" w:cs="Times New Roman" w:eastAsia="Times New Roman" w:hAnsi="Times New Roman"/>
                <w:sz w:val="10"/>
                <w:szCs w:val="10"/>
                <w:b w:val="1"/>
                <w:bCs w:val="1"/>
                <w:color w:val="auto"/>
              </w:rPr>
              <w:t>37215</w:t>
            </w:r>
          </w:p>
        </w:tc>
      </w:tr>
      <w:tr>
        <w:trPr>
          <w:trHeight w:val="111"/>
        </w:trPr>
        <w:tc>
          <w:tcPr>
            <w:tcW w:w="1260" w:type="dxa"/>
            <w:vAlign w:val="bottom"/>
          </w:tcPr>
          <w:p>
            <w:pPr>
              <w:spacing w:after="0"/>
              <w:rPr>
                <w:sz w:val="9"/>
                <w:szCs w:val="9"/>
                <w:color w:val="auto"/>
              </w:rPr>
            </w:pPr>
          </w:p>
        </w:tc>
        <w:tc>
          <w:tcPr>
            <w:tcW w:w="5160" w:type="dxa"/>
            <w:vAlign w:val="bottom"/>
          </w:tcPr>
          <w:p>
            <w:pPr>
              <w:jc w:val="center"/>
              <w:ind w:right="3038"/>
              <w:spacing w:after="0"/>
              <w:rPr>
                <w:sz w:val="20"/>
                <w:szCs w:val="20"/>
                <w:color w:val="auto"/>
              </w:rPr>
            </w:pPr>
            <w:r>
              <w:rPr>
                <w:rFonts w:ascii="Times New Roman" w:cs="Times New Roman" w:eastAsia="Times New Roman" w:hAnsi="Times New Roman"/>
                <w:sz w:val="7"/>
                <w:szCs w:val="7"/>
                <w:b w:val="1"/>
                <w:bCs w:val="1"/>
                <w:color w:val="auto"/>
              </w:rPr>
              <w:t>(Address of principal executive offices)</w:t>
            </w:r>
          </w:p>
        </w:tc>
        <w:tc>
          <w:tcPr>
            <w:tcW w:w="1860" w:type="dxa"/>
            <w:vAlign w:val="bottom"/>
          </w:tcPr>
          <w:p>
            <w:pPr>
              <w:jc w:val="center"/>
              <w:ind w:left="1279"/>
              <w:spacing w:after="0"/>
              <w:rPr>
                <w:sz w:val="20"/>
                <w:szCs w:val="20"/>
                <w:color w:val="auto"/>
              </w:rPr>
            </w:pPr>
            <w:r>
              <w:rPr>
                <w:rFonts w:ascii="Times New Roman" w:cs="Times New Roman" w:eastAsia="Times New Roman" w:hAnsi="Times New Roman"/>
                <w:sz w:val="7"/>
                <w:szCs w:val="7"/>
                <w:b w:val="1"/>
                <w:bCs w:val="1"/>
                <w:color w:val="auto"/>
              </w:rPr>
              <w:t>(Zip Code)</w:t>
            </w:r>
          </w:p>
        </w:tc>
      </w:tr>
      <w:tr>
        <w:trPr>
          <w:trHeight w:val="320"/>
        </w:trPr>
        <w:tc>
          <w:tcPr>
            <w:tcW w:w="1260" w:type="dxa"/>
            <w:vAlign w:val="bottom"/>
          </w:tcPr>
          <w:p>
            <w:pPr>
              <w:spacing w:after="0"/>
              <w:rPr>
                <w:sz w:val="24"/>
                <w:szCs w:val="24"/>
                <w:color w:val="auto"/>
              </w:rPr>
            </w:pPr>
          </w:p>
        </w:tc>
        <w:tc>
          <w:tcPr>
            <w:tcW w:w="5160" w:type="dxa"/>
            <w:vAlign w:val="bottom"/>
          </w:tcPr>
          <w:p>
            <w:pPr>
              <w:jc w:val="center"/>
              <w:ind w:left="598"/>
              <w:spacing w:after="0"/>
              <w:rPr>
                <w:sz w:val="20"/>
                <w:szCs w:val="20"/>
                <w:color w:val="auto"/>
              </w:rPr>
            </w:pPr>
            <w:r>
              <w:rPr>
                <w:rFonts w:ascii="Times New Roman" w:cs="Times New Roman" w:eastAsia="Times New Roman" w:hAnsi="Times New Roman"/>
                <w:sz w:val="10"/>
                <w:szCs w:val="10"/>
                <w:b w:val="1"/>
                <w:bCs w:val="1"/>
                <w:color w:val="auto"/>
                <w:w w:val="95"/>
              </w:rPr>
              <w:t>(615) 465-4487</w:t>
            </w:r>
          </w:p>
        </w:tc>
        <w:tc>
          <w:tcPr>
            <w:tcW w:w="1860" w:type="dxa"/>
            <w:vAlign w:val="bottom"/>
          </w:tcPr>
          <w:p>
            <w:pPr>
              <w:spacing w:after="0"/>
              <w:rPr>
                <w:sz w:val="24"/>
                <w:szCs w:val="24"/>
                <w:color w:val="auto"/>
              </w:rPr>
            </w:pPr>
          </w:p>
        </w:tc>
      </w:tr>
      <w:tr>
        <w:trPr>
          <w:trHeight w:val="94"/>
        </w:trPr>
        <w:tc>
          <w:tcPr>
            <w:tcW w:w="1260" w:type="dxa"/>
            <w:vAlign w:val="bottom"/>
          </w:tcPr>
          <w:p>
            <w:pPr>
              <w:spacing w:after="0"/>
              <w:rPr>
                <w:sz w:val="8"/>
                <w:szCs w:val="8"/>
                <w:color w:val="auto"/>
              </w:rPr>
            </w:pPr>
          </w:p>
        </w:tc>
        <w:tc>
          <w:tcPr>
            <w:tcW w:w="5160" w:type="dxa"/>
            <w:vAlign w:val="bottom"/>
          </w:tcPr>
          <w:p>
            <w:pPr>
              <w:jc w:val="center"/>
              <w:ind w:left="618"/>
              <w:spacing w:after="0"/>
              <w:rPr>
                <w:sz w:val="20"/>
                <w:szCs w:val="20"/>
                <w:color w:val="auto"/>
              </w:rPr>
            </w:pPr>
            <w:r>
              <w:rPr>
                <w:rFonts w:ascii="Times New Roman" w:cs="Times New Roman" w:eastAsia="Times New Roman" w:hAnsi="Times New Roman"/>
                <w:sz w:val="7"/>
                <w:szCs w:val="7"/>
                <w:b w:val="1"/>
                <w:bCs w:val="1"/>
                <w:color w:val="auto"/>
              </w:rPr>
              <w:t>(Registrant’s telephone number, including area code)</w:t>
            </w:r>
          </w:p>
        </w:tc>
        <w:tc>
          <w:tcPr>
            <w:tcW w:w="1860" w:type="dxa"/>
            <w:vAlign w:val="bottom"/>
          </w:tcPr>
          <w:p>
            <w:pPr>
              <w:spacing w:after="0"/>
              <w:rPr>
                <w:sz w:val="8"/>
                <w:szCs w:val="8"/>
                <w:color w:val="auto"/>
              </w:rPr>
            </w:pPr>
          </w:p>
        </w:tc>
      </w:tr>
      <w:tr>
        <w:trPr>
          <w:trHeight w:val="275"/>
        </w:trPr>
        <w:tc>
          <w:tcPr>
            <w:tcW w:w="1260" w:type="dxa"/>
            <w:vAlign w:val="bottom"/>
          </w:tcPr>
          <w:p>
            <w:pPr>
              <w:spacing w:after="0"/>
              <w:rPr>
                <w:sz w:val="23"/>
                <w:szCs w:val="23"/>
                <w:color w:val="auto"/>
              </w:rPr>
            </w:pPr>
          </w:p>
        </w:tc>
        <w:tc>
          <w:tcPr>
            <w:tcW w:w="5160" w:type="dxa"/>
            <w:vAlign w:val="bottom"/>
          </w:tcPr>
          <w:p>
            <w:pPr>
              <w:jc w:val="center"/>
              <w:ind w:left="618"/>
              <w:spacing w:after="0"/>
              <w:rPr>
                <w:sz w:val="20"/>
                <w:szCs w:val="20"/>
                <w:color w:val="auto"/>
              </w:rPr>
            </w:pPr>
            <w:r>
              <w:rPr>
                <w:rFonts w:ascii="Times New Roman" w:cs="Times New Roman" w:eastAsia="Times New Roman" w:hAnsi="Times New Roman"/>
                <w:sz w:val="10"/>
                <w:szCs w:val="10"/>
                <w:b w:val="1"/>
                <w:bCs w:val="1"/>
                <w:color w:val="auto"/>
                <w:w w:val="96"/>
              </w:rPr>
              <w:t>Not Applicable</w:t>
            </w:r>
          </w:p>
        </w:tc>
        <w:tc>
          <w:tcPr>
            <w:tcW w:w="1860" w:type="dxa"/>
            <w:vAlign w:val="bottom"/>
          </w:tcPr>
          <w:p>
            <w:pPr>
              <w:spacing w:after="0"/>
              <w:rPr>
                <w:sz w:val="23"/>
                <w:szCs w:val="23"/>
                <w:color w:val="auto"/>
              </w:rPr>
            </w:pPr>
          </w:p>
        </w:tc>
      </w:tr>
      <w:tr>
        <w:trPr>
          <w:trHeight w:val="94"/>
        </w:trPr>
        <w:tc>
          <w:tcPr>
            <w:tcW w:w="1260" w:type="dxa"/>
            <w:vAlign w:val="bottom"/>
          </w:tcPr>
          <w:p>
            <w:pPr>
              <w:spacing w:after="0"/>
              <w:rPr>
                <w:sz w:val="8"/>
                <w:szCs w:val="8"/>
                <w:color w:val="auto"/>
              </w:rPr>
            </w:pPr>
          </w:p>
        </w:tc>
        <w:tc>
          <w:tcPr>
            <w:tcW w:w="5160" w:type="dxa"/>
            <w:vAlign w:val="bottom"/>
          </w:tcPr>
          <w:p>
            <w:pPr>
              <w:jc w:val="center"/>
              <w:ind w:left="618"/>
              <w:spacing w:after="0"/>
              <w:rPr>
                <w:sz w:val="20"/>
                <w:szCs w:val="20"/>
                <w:color w:val="auto"/>
              </w:rPr>
            </w:pPr>
            <w:r>
              <w:rPr>
                <w:rFonts w:ascii="Times New Roman" w:cs="Times New Roman" w:eastAsia="Times New Roman" w:hAnsi="Times New Roman"/>
                <w:sz w:val="7"/>
                <w:szCs w:val="7"/>
                <w:b w:val="1"/>
                <w:bCs w:val="1"/>
                <w:color w:val="auto"/>
              </w:rPr>
              <w:t>(Former name or former address, if changed since last report)</w:t>
            </w:r>
          </w:p>
        </w:tc>
        <w:tc>
          <w:tcPr>
            <w:tcW w:w="1860" w:type="dxa"/>
            <w:vAlign w:val="bottom"/>
          </w:tcPr>
          <w:p>
            <w:pPr>
              <w:spacing w:after="0"/>
              <w:rPr>
                <w:sz w:val="8"/>
                <w:szCs w:val="8"/>
                <w:color w:val="auto"/>
              </w:rPr>
            </w:pPr>
          </w:p>
        </w:tc>
      </w:tr>
    </w:tbl>
    <w:p>
      <w:pPr>
        <w:spacing w:after="0" w:line="288"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Check the appropriate box if the Form 8-K filing is intended to simultaneously satisfy the filing obligation of the registrant under any of the following provisions (see General Instruction A.2. below):</w:t>
      </w:r>
    </w:p>
    <w:p>
      <w:pPr>
        <w:spacing w:after="0" w:line="29" w:lineRule="exact"/>
        <w:rPr>
          <w:sz w:val="24"/>
          <w:szCs w:val="24"/>
          <w:color w:val="auto"/>
        </w:rPr>
      </w:pPr>
    </w:p>
    <w:p>
      <w:pPr>
        <w:ind w:left="480" w:hanging="464"/>
        <w:spacing w:after="0"/>
        <w:tabs>
          <w:tab w:leader="none" w:pos="480" w:val="left"/>
        </w:tabs>
        <w:numPr>
          <w:ilvl w:val="1"/>
          <w:numId w:val="1"/>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Written communications pursuant to Rule 425 under the Securities Act (17 CFR 230.425)</w:t>
      </w:r>
    </w:p>
    <w:p>
      <w:pPr>
        <w:spacing w:after="0" w:line="101" w:lineRule="exact"/>
        <w:rPr>
          <w:rFonts w:ascii="MS PGothic" w:cs="MS PGothic" w:eastAsia="MS PGothic" w:hAnsi="MS PGothic"/>
          <w:sz w:val="10"/>
          <w:szCs w:val="10"/>
          <w:color w:val="auto"/>
        </w:rPr>
      </w:pPr>
    </w:p>
    <w:p>
      <w:pPr>
        <w:ind w:left="460" w:hanging="456"/>
        <w:spacing w:after="0"/>
        <w:tabs>
          <w:tab w:leader="none" w:pos="460"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Soliciting material pursuant to Rule 14a-12 under the Exchange Act (17 CFR 240.14a-12)</w:t>
      </w:r>
    </w:p>
    <w:p>
      <w:pPr>
        <w:spacing w:after="0" w:line="92" w:lineRule="exact"/>
        <w:rPr>
          <w:rFonts w:ascii="MS PGothic" w:cs="MS PGothic" w:eastAsia="MS PGothic" w:hAnsi="MS PGothic"/>
          <w:sz w:val="10"/>
          <w:szCs w:val="10"/>
          <w:color w:val="auto"/>
        </w:rPr>
      </w:pPr>
    </w:p>
    <w:p>
      <w:pPr>
        <w:ind w:left="460" w:hanging="456"/>
        <w:spacing w:after="0"/>
        <w:tabs>
          <w:tab w:leader="none" w:pos="460"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Pre-commencement communications pursuant to Rule 14d-2(b) under the Exchange Act (17 CFR 240.14d- 2(b))</w:t>
      </w:r>
    </w:p>
    <w:p>
      <w:pPr>
        <w:spacing w:after="0" w:line="101" w:lineRule="exact"/>
        <w:rPr>
          <w:rFonts w:ascii="MS PGothic" w:cs="MS PGothic" w:eastAsia="MS PGothic" w:hAnsi="MS PGothic"/>
          <w:sz w:val="10"/>
          <w:szCs w:val="10"/>
          <w:color w:val="auto"/>
        </w:rPr>
      </w:pPr>
    </w:p>
    <w:p>
      <w:pPr>
        <w:ind w:left="460" w:hanging="456"/>
        <w:spacing w:after="0"/>
        <w:tabs>
          <w:tab w:leader="none" w:pos="460" w:val="left"/>
        </w:tabs>
        <w:numPr>
          <w:ilvl w:val="0"/>
          <w:numId w:val="1"/>
        </w:numPr>
        <w:rPr>
          <w:rFonts w:ascii="MS PGothic" w:cs="MS PGothic" w:eastAsia="MS PGothic" w:hAnsi="MS PGothic"/>
          <w:sz w:val="10"/>
          <w:szCs w:val="10"/>
          <w:color w:val="auto"/>
        </w:rPr>
      </w:pPr>
      <w:r>
        <w:rPr>
          <w:rFonts w:ascii="Times New Roman" w:cs="Times New Roman" w:eastAsia="Times New Roman" w:hAnsi="Times New Roman"/>
          <w:sz w:val="10"/>
          <w:szCs w:val="10"/>
          <w:color w:val="auto"/>
        </w:rPr>
        <w:t>Pre-commencement communications pursuant to Rule 13e-4(c) under the Exchange Act (17 CFR 240.13e- 4(c))</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23"/>
        </w:trPr>
        <w:tc>
          <w:tcPr>
            <w:tcW w:w="382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Securities registered pursuant to Section 12(b) of the Act:</w:t>
            </w: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700" w:type="dxa"/>
            <w:vAlign w:val="bottom"/>
          </w:tcPr>
          <w:p>
            <w:pPr>
              <w:spacing w:after="0"/>
              <w:rPr>
                <w:sz w:val="10"/>
                <w:szCs w:val="10"/>
                <w:color w:val="auto"/>
              </w:rPr>
            </w:pPr>
          </w:p>
        </w:tc>
      </w:tr>
      <w:tr>
        <w:trPr>
          <w:trHeight w:val="116"/>
        </w:trPr>
        <w:tc>
          <w:tcPr>
            <w:tcW w:w="1600" w:type="dxa"/>
            <w:vAlign w:val="bottom"/>
          </w:tcPr>
          <w:p>
            <w:pPr>
              <w:spacing w:after="0"/>
              <w:rPr>
                <w:sz w:val="10"/>
                <w:szCs w:val="1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Title of each class</w:t>
            </w:r>
          </w:p>
        </w:tc>
        <w:tc>
          <w:tcPr>
            <w:tcW w:w="1520" w:type="dxa"/>
            <w:vAlign w:val="bottom"/>
          </w:tcPr>
          <w:p>
            <w:pPr>
              <w:spacing w:after="0"/>
              <w:rPr>
                <w:sz w:val="10"/>
                <w:szCs w:val="10"/>
                <w:color w:val="auto"/>
              </w:rPr>
            </w:pPr>
          </w:p>
        </w:tc>
        <w:tc>
          <w:tcPr>
            <w:tcW w:w="1740" w:type="dxa"/>
            <w:vAlign w:val="bottom"/>
            <w:gridSpan w:val="2"/>
          </w:tcPr>
          <w:p>
            <w:pPr>
              <w:jc w:val="center"/>
              <w:ind w:left="972"/>
              <w:spacing w:after="0"/>
              <w:rPr>
                <w:sz w:val="20"/>
                <w:szCs w:val="20"/>
                <w:color w:val="auto"/>
              </w:rPr>
            </w:pPr>
            <w:r>
              <w:rPr>
                <w:rFonts w:ascii="Times New Roman" w:cs="Times New Roman" w:eastAsia="Times New Roman" w:hAnsi="Times New Roman"/>
                <w:sz w:val="10"/>
                <w:szCs w:val="10"/>
                <w:color w:val="auto"/>
                <w:w w:val="94"/>
              </w:rPr>
              <w:t>Trading Symbol(s)</w:t>
            </w:r>
          </w:p>
        </w:tc>
        <w:tc>
          <w:tcPr>
            <w:tcW w:w="2480" w:type="dxa"/>
            <w:vAlign w:val="bottom"/>
          </w:tcPr>
          <w:p>
            <w:pPr>
              <w:spacing w:after="0"/>
              <w:rPr>
                <w:sz w:val="10"/>
                <w:szCs w:val="1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Name of each exchange on which registered</w:t>
            </w:r>
          </w:p>
        </w:tc>
      </w:tr>
      <w:tr>
        <w:trPr>
          <w:trHeight w:val="20"/>
        </w:trPr>
        <w:tc>
          <w:tcPr>
            <w:tcW w:w="16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r>
      <w:tr>
        <w:trPr>
          <w:trHeight w:val="134"/>
        </w:trPr>
        <w:tc>
          <w:tcPr>
            <w:tcW w:w="3820" w:type="dxa"/>
            <w:vAlign w:val="bottom"/>
            <w:gridSpan w:val="3"/>
          </w:tcPr>
          <w:p>
            <w:pPr>
              <w:jc w:val="center"/>
              <w:ind w:left="32"/>
              <w:spacing w:after="0"/>
              <w:rPr>
                <w:sz w:val="20"/>
                <w:szCs w:val="20"/>
                <w:color w:val="auto"/>
              </w:rPr>
            </w:pPr>
            <w:r>
              <w:rPr>
                <w:rFonts w:ascii="Times New Roman" w:cs="Times New Roman" w:eastAsia="Times New Roman" w:hAnsi="Times New Roman"/>
                <w:sz w:val="10"/>
                <w:szCs w:val="10"/>
                <w:color w:val="auto"/>
                <w:w w:val="94"/>
              </w:rPr>
              <w:t>Class A Common Stock, $0.0001 Par Value</w:t>
            </w:r>
          </w:p>
        </w:tc>
        <w:tc>
          <w:tcPr>
            <w:tcW w:w="102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2"/>
              </w:rPr>
              <w:t>IIIV</w:t>
            </w:r>
          </w:p>
        </w:tc>
        <w:tc>
          <w:tcPr>
            <w:tcW w:w="2480" w:type="dxa"/>
            <w:vAlign w:val="bottom"/>
          </w:tcPr>
          <w:p>
            <w:pPr>
              <w:spacing w:after="0"/>
              <w:rPr>
                <w:sz w:val="11"/>
                <w:szCs w:val="11"/>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Nasdaq Global Select Market</w:t>
            </w:r>
          </w:p>
        </w:tc>
      </w:tr>
    </w:tbl>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jc w:val="right"/>
        <w:spacing w:after="0" w:line="115" w:lineRule="exact"/>
        <w:rPr>
          <w:sz w:val="20"/>
          <w:szCs w:val="20"/>
          <w:color w:val="auto"/>
        </w:rPr>
      </w:pPr>
      <w:r>
        <w:rPr>
          <w:rFonts w:ascii="Times New Roman" w:cs="Times New Roman" w:eastAsia="Times New Roman" w:hAnsi="Times New Roman"/>
          <w:sz w:val="10"/>
          <w:szCs w:val="10"/>
          <w:color w:val="auto"/>
        </w:rPr>
        <w:t xml:space="preserve">Emerging growth company. </w:t>
      </w:r>
      <w:r>
        <w:rPr>
          <w:rFonts w:ascii="MS PGothic" w:cs="MS PGothic" w:eastAsia="MS PGothic" w:hAnsi="MS PGothic"/>
          <w:sz w:val="10"/>
          <w:szCs w:val="10"/>
          <w:color w:val="auto"/>
        </w:rPr>
        <w:t>☐</w:t>
      </w:r>
    </w:p>
    <w:p>
      <w:pPr>
        <w:spacing w:after="0" w:line="146" w:lineRule="exact"/>
        <w:rPr>
          <w:sz w:val="24"/>
          <w:szCs w:val="24"/>
          <w:color w:val="auto"/>
        </w:rPr>
      </w:pPr>
    </w:p>
    <w:p>
      <w:pPr>
        <w:spacing w:after="0" w:line="115" w:lineRule="exact"/>
        <w:rPr>
          <w:sz w:val="20"/>
          <w:szCs w:val="20"/>
          <w:color w:val="auto"/>
        </w:rPr>
      </w:pPr>
      <w:r>
        <w:rPr>
          <w:rFonts w:ascii="Times New Roman" w:cs="Times New Roman" w:eastAsia="Times New Roman" w:hAnsi="Times New Roman"/>
          <w:sz w:val="10"/>
          <w:szCs w:val="1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217170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77" w:right="299" w:bottom="1440" w:gutter="0" w:footer="0" w:header="0"/>
        </w:sectPr>
      </w:pPr>
    </w:p>
    <w:bookmarkStart w:id="1" w:name="page2"/>
    <w:bookmarkEnd w:id="1"/>
    <w:p>
      <w:pPr>
        <w:ind w:left="8"/>
        <w:spacing w:after="0"/>
        <w:tabs>
          <w:tab w:leader="none" w:pos="608"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72"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The Company has posted on the Investors section of the Company’s website, www.i3verticals.com, a presentation (the “Presentation”) to be utilized by the Company at the Baird 2026 Global Consumer, Technology &amp; Services conference to be held on June 3, 2026, and the 2026 Davidson Technology Consumer Conference to be held on June 11, 2026, which includes certain financial information regarding the Company for the three months ended March 31, 2026. A copy of the Presentation is furnished as Exhibit 99.1 hereto and is hereby incorporated by reference into this Item 7.01.</w:t>
      </w:r>
    </w:p>
    <w:p>
      <w:pPr>
        <w:spacing w:after="0" w:line="115" w:lineRule="exact"/>
        <w:rPr>
          <w:sz w:val="20"/>
          <w:szCs w:val="20"/>
          <w:color w:val="auto"/>
        </w:rPr>
      </w:pPr>
    </w:p>
    <w:p>
      <w:pPr>
        <w:ind w:left="8"/>
        <w:spacing w:after="0"/>
        <w:tabs>
          <w:tab w:leader="none" w:pos="64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70" w:lineRule="exact"/>
        <w:rPr>
          <w:sz w:val="20"/>
          <w:szCs w:val="20"/>
          <w:color w:val="auto"/>
        </w:rPr>
      </w:pPr>
    </w:p>
    <w:p>
      <w:pPr>
        <w:ind w:left="168" w:hanging="168"/>
        <w:spacing w:after="0"/>
        <w:tabs>
          <w:tab w:leader="none" w:pos="16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Exhibits:</w:t>
      </w:r>
    </w:p>
    <w:p>
      <w:pPr>
        <w:spacing w:after="0" w:line="35"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2200" w:type="dxa"/>
            <w:vAlign w:val="bottom"/>
            <w:gridSpan w:val="3"/>
          </w:tcPr>
          <w:p>
            <w:pPr>
              <w:ind w:left="620"/>
              <w:spacing w:after="0"/>
              <w:rPr>
                <w:sz w:val="20"/>
                <w:szCs w:val="20"/>
                <w:color w:val="auto"/>
              </w:rPr>
            </w:pPr>
            <w:r>
              <w:rPr>
                <w:rFonts w:ascii="Times New Roman" w:cs="Times New Roman" w:eastAsia="Times New Roman" w:hAnsi="Times New Roman"/>
                <w:sz w:val="12"/>
                <w:szCs w:val="12"/>
                <w:color w:val="auto"/>
              </w:rPr>
              <w:t>Exhibit No.</w:t>
            </w:r>
          </w:p>
        </w:tc>
        <w:tc>
          <w:tcPr>
            <w:tcW w:w="600" w:type="dxa"/>
            <w:vAlign w:val="bottom"/>
          </w:tcPr>
          <w:p>
            <w:pPr>
              <w:spacing w:after="0"/>
              <w:rPr>
                <w:sz w:val="13"/>
                <w:szCs w:val="13"/>
                <w:color w:val="auto"/>
              </w:rPr>
            </w:pPr>
          </w:p>
        </w:tc>
        <w:tc>
          <w:tcPr>
            <w:tcW w:w="8500" w:type="dxa"/>
            <w:vAlign w:val="bottom"/>
          </w:tcPr>
          <w:p>
            <w:pPr>
              <w:ind w:left="3660"/>
              <w:spacing w:after="0"/>
              <w:rPr>
                <w:sz w:val="20"/>
                <w:szCs w:val="20"/>
                <w:color w:val="auto"/>
              </w:rPr>
            </w:pPr>
            <w:r>
              <w:rPr>
                <w:rFonts w:ascii="Times New Roman" w:cs="Times New Roman" w:eastAsia="Times New Roman" w:hAnsi="Times New Roman"/>
                <w:sz w:val="12"/>
                <w:szCs w:val="12"/>
                <w:color w:val="auto"/>
              </w:rPr>
              <w:t>Description</w:t>
            </w:r>
          </w:p>
        </w:tc>
      </w:tr>
      <w:tr>
        <w:trPr>
          <w:trHeight w:val="128"/>
        </w:trPr>
        <w:tc>
          <w:tcPr>
            <w:tcW w:w="800" w:type="dxa"/>
            <w:vAlign w:val="bottom"/>
          </w:tcPr>
          <w:p>
            <w:pPr>
              <w:spacing w:after="0"/>
              <w:rPr>
                <w:sz w:val="11"/>
                <w:szCs w:val="11"/>
                <w:color w:val="auto"/>
              </w:rPr>
            </w:pPr>
          </w:p>
        </w:tc>
        <w:tc>
          <w:tcPr>
            <w:tcW w:w="2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1180" w:type="dxa"/>
            <w:vAlign w:val="bottom"/>
          </w:tcPr>
          <w:p>
            <w:pPr>
              <w:spacing w:after="0"/>
              <w:rPr>
                <w:sz w:val="11"/>
                <w:szCs w:val="11"/>
                <w:color w:val="auto"/>
              </w:rPr>
            </w:pPr>
          </w:p>
        </w:tc>
        <w:tc>
          <w:tcPr>
            <w:tcW w:w="9100" w:type="dxa"/>
            <w:vAlign w:val="bottom"/>
            <w:gridSpan w:val="2"/>
          </w:tcPr>
          <w:p>
            <w:pPr>
              <w:spacing w:after="0" w:line="128" w:lineRule="exact"/>
              <w:rPr>
                <w:sz w:val="20"/>
                <w:szCs w:val="20"/>
                <w:color w:val="auto"/>
              </w:rPr>
            </w:pPr>
            <w:r>
              <w:rPr>
                <w:rFonts w:ascii="Times New Roman" w:cs="Times New Roman" w:eastAsia="Times New Roman" w:hAnsi="Times New Roman"/>
                <w:sz w:val="12"/>
                <w:szCs w:val="12"/>
                <w:color w:val="0000FF"/>
              </w:rPr>
              <w:t>Presentation</w:t>
            </w:r>
          </w:p>
        </w:tc>
      </w:tr>
      <w:tr>
        <w:trPr>
          <w:trHeight w:val="20"/>
        </w:trPr>
        <w:tc>
          <w:tcPr>
            <w:tcW w:w="8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r>
      <w:tr>
        <w:trPr>
          <w:trHeight w:val="160"/>
        </w:trPr>
        <w:tc>
          <w:tcPr>
            <w:tcW w:w="8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104</w:t>
            </w:r>
          </w:p>
        </w:tc>
        <w:tc>
          <w:tcPr>
            <w:tcW w:w="1180" w:type="dxa"/>
            <w:vAlign w:val="bottom"/>
          </w:tcPr>
          <w:p>
            <w:pPr>
              <w:spacing w:after="0"/>
              <w:rPr>
                <w:sz w:val="13"/>
                <w:szCs w:val="13"/>
                <w:color w:val="auto"/>
              </w:rPr>
            </w:pPr>
          </w:p>
        </w:tc>
        <w:tc>
          <w:tcPr>
            <w:tcW w:w="91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711"/>
        </w:trPr>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395"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June 2, 2026</w:t>
      </w:r>
    </w:p>
    <w:p>
      <w:pPr>
        <w:spacing w:after="0" w:line="344"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2"/>
          <w:szCs w:val="12"/>
          <w:b w:val="1"/>
          <w:bCs w:val="1"/>
          <w:color w:val="auto"/>
        </w:rPr>
        <w:t>i3 VERTICALS, INC.</w:t>
      </w:r>
    </w:p>
    <w:p>
      <w:pPr>
        <w:spacing w:after="0" w:line="163" w:lineRule="exact"/>
        <w:rPr>
          <w:sz w:val="20"/>
          <w:szCs w:val="20"/>
          <w:color w:val="auto"/>
        </w:rPr>
      </w:pPr>
    </w:p>
    <w:tbl>
      <w:tblPr>
        <w:tblLayout w:type="fixed"/>
        <w:tblInd w:w="6400" w:type="dxa"/>
        <w:tblCellMar>
          <w:top w:w="0" w:type="dxa"/>
          <w:left w:w="0" w:type="dxa"/>
          <w:bottom w:w="0" w:type="dxa"/>
          <w:right w:w="0" w:type="dxa"/>
        </w:tblCellMar>
      </w:tblPr>
      <w:tr>
        <w:trPr>
          <w:trHeight w:val="155"/>
        </w:trPr>
        <w:tc>
          <w:tcPr>
            <w:tcW w:w="9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Geoff Smith</w:t>
            </w:r>
          </w:p>
        </w:tc>
      </w:tr>
      <w:tr>
        <w:trPr>
          <w:trHeight w:val="140"/>
        </w:trPr>
        <w:tc>
          <w:tcPr>
            <w:tcW w:w="9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4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Geoff Smith</w:t>
            </w:r>
          </w:p>
        </w:tc>
      </w:tr>
      <w:tr>
        <w:trPr>
          <w:trHeight w:val="153"/>
        </w:trPr>
        <w:tc>
          <w:tcPr>
            <w:tcW w:w="9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5"/>
        </w:trPr>
        <w:tc>
          <w:tcPr>
            <w:tcW w:w="900" w:type="dxa"/>
            <w:vAlign w:val="bottom"/>
          </w:tcPr>
          <w:p>
            <w:pPr>
              <w:spacing w:after="0"/>
              <w:rPr>
                <w:sz w:val="13"/>
                <w:szCs w:val="13"/>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(Principal Financial Officer and Principal Accounting Officer)</w:t>
            </w:r>
          </w:p>
        </w:tc>
      </w:tr>
    </w:tbl>
    <w:p>
      <w:pPr>
        <w:sectPr>
          <w:pgSz w:w="11900" w:h="16838" w:orient="portrait"/>
          <w:cols w:equalWidth="0" w:num="1">
            <w:col w:w="11300"/>
          </w:cols>
          <w:pgMar w:left="300" w:top="1151"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2026-06-02T16:43:16Z</dcterms:created>
  <dcterms:modified xsi:type="dcterms:W3CDTF">2026-06-02T16:43:16Z</dcterms:modified>
</cp:coreProperties>
</file>