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i3 Verticals,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Forager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1,106,474.00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1,106,474.00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1,106,474.00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Forager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1,106,474.00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1,106,474.00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1,106,474.00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Kissel Edward Urban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1,106,474.00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1,106,474.00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1,106,474.00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MacArthur Robert Symmes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1,106,474.00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1,106,474.00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1,106,474.00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04"/>
        <w:gridCol w:w="8946"/>
        <w:gridCol w:w="155"/>
      </w:tblGrid>
      <w:tr>
        <w:trPr/>
        <w:tc>
          <w:tcPr>
            <w:tcW w:w="1104" w:type="dxa"/>
            <w:tcBorders/>
            <w:vAlign w:val="center"/>
          </w:tcPr>
          <w:p>
            <w:pPr>
              <w:pStyle w:val="TableContents"/>
              <w:bidi w:val="0"/>
              <w:spacing w:before="0" w:after="283"/>
              <w:jc w:val="left"/>
              <w:rPr/>
            </w:pPr>
            <w:r>
              <w:rPr/>
              <w:t>Item 1.</w:t>
            </w:r>
          </w:p>
        </w:tc>
        <w:tc>
          <w:tcPr>
            <w:tcW w:w="894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Name of issuer: </w:t>
            </w:r>
          </w:p>
          <w:p>
            <w:pPr>
              <w:pStyle w:val="TableContents"/>
              <w:bidi w:val="0"/>
              <w:spacing w:before="0" w:after="0"/>
              <w:jc w:val="left"/>
              <w:rPr/>
            </w:pPr>
            <w:r>
              <w:rPr/>
              <w:t>i3 Verticals, Inc.</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Burton Hills Blvd., Suite 415, Nashville, TN 37215</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2.</w:t>
            </w:r>
          </w:p>
        </w:tc>
        <w:tc>
          <w:tcPr>
            <w:tcW w:w="894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joint statement on Schedule 13G is being filed by Forager Fund, L.P., a Delaware limited partnership (the "Fund"), Forager Capital Management, LLC, a Delaware limited liability company and the general partner of the Fund (the "General Partner"), Edward Kissel and Robert MacArthur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of the Reporting Persons is 2025 3rd Ave. N, Suite 350, Birmingham, AL 35203.</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jc w:val="left"/>
              <w:rPr/>
            </w:pPr>
            <w:r>
              <w:rPr/>
              <w:t xml:space="preserve">Citizenship: </w:t>
            </w:r>
          </w:p>
          <w:p>
            <w:pPr>
              <w:pStyle w:val="TableContents"/>
              <w:bidi w:val="0"/>
              <w:spacing w:before="0" w:after="0"/>
              <w:jc w:val="left"/>
              <w:rPr/>
            </w:pPr>
            <w:r>
              <w:rPr/>
              <w:t>The Fund is a Delaware limited partnership. The General Partner is a Delaware limited liability company. Each of Messrs. Kissel and MacArthur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(d)</w:t>
            </w:r>
          </w:p>
        </w:tc>
        <w:tc>
          <w:tcPr>
            <w:tcW w:w="894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(e)</w:t>
            </w:r>
          </w:p>
        </w:tc>
        <w:tc>
          <w:tcPr>
            <w:tcW w:w="894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3.</w:t>
            </w:r>
          </w:p>
        </w:tc>
        <w:tc>
          <w:tcPr>
            <w:tcW w:w="894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(d)</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(e)</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(f)</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(g)</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(h)</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(j)</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(k)</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9101" w:type="dxa"/>
            <w:gridSpan w:val="2"/>
            <w:tcBorders/>
            <w:vAlign w:val="center"/>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4.</w:t>
            </w:r>
          </w:p>
        </w:tc>
        <w:tc>
          <w:tcPr>
            <w:tcW w:w="894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Reporting Persons, in the aggregate, beneficially own 1,106,474 shares of Class A common stock, $0.0001 par value per share, of the Issuer ("Common Stock").</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 The percentages of beneficial ownership reported herein, and on each Reporting Person's cover page to this Schedule 13G, are based on a total of 18,019,748 shares of Common Stock issued and outstanding as of August 6, 2026, as reported in the Issuer's Quarterly Report on Form 10-Q for its fiscal quarter ended June 30, 2026, filed with the Securities and Exchange Commission on August 7, 2026.  %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Fund and the General Partner has the sole power to vote or to direct the vote of 1,106,474 shares of Common Stock. Each of Messrs. Kissel and MacArthur has the sole power to vote or to direct the vote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Each of the Fund and the General Partner has the shared power to vote or to direct the vote of 0 shares of Common Stock. Each of Messrs. Kissel and MacArthur has the shared power to vote or to direct the vote of 1,106,474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Fund and the General Partner has the sole power to dispose or to direct the disposition of 1,106,474 shares of Common Stock. Each of Messrs. Kissel and MacArthur has the sole power to dispose or to direct the disposition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Each of the Fund and the General Partner has the shared power to dispose or to direct the disposition of 0 shares of Common Stock. Each of Messrs. Kissel and MacArthur has the shared power to dispose or to direct the disposition of 1,106,474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5.</w:t>
            </w:r>
          </w:p>
        </w:tc>
        <w:tc>
          <w:tcPr>
            <w:tcW w:w="894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6.</w:t>
            </w:r>
          </w:p>
        </w:tc>
        <w:tc>
          <w:tcPr>
            <w:tcW w:w="894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7.</w:t>
            </w:r>
          </w:p>
        </w:tc>
        <w:tc>
          <w:tcPr>
            <w:tcW w:w="894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8.</w:t>
            </w:r>
          </w:p>
        </w:tc>
        <w:tc>
          <w:tcPr>
            <w:tcW w:w="894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9.</w:t>
            </w:r>
          </w:p>
        </w:tc>
        <w:tc>
          <w:tcPr>
            <w:tcW w:w="894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Forager Capital Management,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Robert MacArthur</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Managing Partner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Forager Fund, L.P.</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Robert MacArthur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Partner of the sole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Kissel Edward Urban</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Edward Kissel</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Director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MacArthur Robert Symmes</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Robert MacArthur</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Managing Partner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24.1 - Power of Attorney, dated September 30, 2026, by Edward Kissel Exhibit 24.2 - Power of Attorney, dated September 30, 2026, by Robert MacArthur Exhibit 99.1 - Joint Filing Agreement, dated September 30, 2026, by and among the reporting persons</w:t>
            </w:r>
          </w:p>
        </w:tc>
      </w:tr>
    </w:tbl>
    <w:p>
      <w:pPr>
        <w:pStyle w:val="TextBody"/>
        <w:bidi w:val="0"/>
        <w:spacing w:before="0" w:after="0"/>
        <w:ind w:left="0" w:right="0" w:hanging="0"/>
        <w:jc w:val="center"/>
        <w:rPr>
          <w:caps w:val="false"/>
          <w:smallCaps w:val="false"/>
        </w:rPr>
      </w:pPr>
      <w:bookmarkStart w:id="28" w:name="tm2626717d1_ex24-1.htm"/>
      <w:bookmarkStart w:id="29" w:name="kstm2626717d1_ex24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Robert MacArthur as the undersigned’s true and lawful attorney-in fact and agent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as a result of the undersigned’s ownership of or transactions in securities of i3 Verticals, Inc., a Delaware corporation,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both"/>
              <w:rPr/>
            </w:pPr>
            <w:r>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firstLine="675"/>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the Exchange Act, including without limitation Sections 13 and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(i) the undersigned is no longer required to file any form or document with respect to the undersigned’s holdings of and transactions in securities issued by i3 Verticals, Inc. or (ii) revocation by the undersigned in a signed writing delivered to the foregoing attorney-in-fact.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 this Power of Attorney to be executed as of this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w:t>
      </w:r>
    </w:p>
    <w:p>
      <w:pPr>
        <w:pStyle w:val="TextBody"/>
        <w:bidi w:val="0"/>
        <w:spacing w:before="0" w:after="0"/>
        <w:ind w:left="0" w:right="0" w:firstLine="675"/>
        <w:jc w:val="both"/>
        <w:rPr>
          <w:caps w:val="false"/>
          <w:smallCaps w:val="false"/>
        </w:rPr>
      </w:pPr>
      <w:r>
        <w:rPr>
          <w:caps w:val="false"/>
          <w:smallCaps w:val="false"/>
        </w:rPr>
        <w:t> </w:t>
      </w:r>
    </w:p>
    <w:tbl>
      <w:tblPr>
        <w:tblW w:w="1595" w:type="dxa"/>
        <w:jc w:val="left"/>
        <w:tblInd w:w="0" w:type="dxa"/>
        <w:tblLayout w:type="fixed"/>
        <w:tblCellMar>
          <w:top w:w="0" w:type="dxa"/>
          <w:left w:w="0" w:type="dxa"/>
          <w:bottom w:w="0" w:type="dxa"/>
          <w:right w:w="0" w:type="dxa"/>
        </w:tblCellMar>
      </w:tblPr>
      <w:tblGrid>
        <w:gridCol w:w="105"/>
        <w:gridCol w:w="1490"/>
      </w:tblGrid>
      <w:tr>
        <w:trPr/>
        <w:tc>
          <w:tcPr>
            <w:tcW w:w="105"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Kissel</w:t>
            </w:r>
          </w:p>
        </w:tc>
      </w:tr>
      <w:tr>
        <w:trPr/>
        <w:tc>
          <w:tcPr>
            <w:tcW w:w="10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Kissel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0" w:name="tm2626717d1_ex24-2.htm"/>
      <w:bookmarkStart w:id="31" w:name="kstm2626717d1_ex242"/>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Edward Kissel as the undersigned’s true and lawful attorney-in fact and agent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as a result of the undersigned’s ownership of or transactions in securities of i3 Verticals, Inc., a Delaware corporation,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both"/>
              <w:rPr/>
            </w:pPr>
            <w:r>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firstLine="675"/>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the Exchange Act, including without limitation Sections 13 and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(i) the undersigned is no longer required to file any form or document with respect to the undersigned’s holdings of and transactions in securities issued by i3 Verticals, Inc. or (ii) revocation by the undersigned in a signed writing delivered to the foregoing attorney-in-fact.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 this Power of Attorney to be executed as of this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w:t>
      </w:r>
    </w:p>
    <w:p>
      <w:pPr>
        <w:pStyle w:val="TextBody"/>
        <w:bidi w:val="0"/>
        <w:spacing w:before="0" w:after="0"/>
        <w:ind w:left="0" w:right="0" w:firstLine="675"/>
        <w:jc w:val="both"/>
        <w:rPr>
          <w:caps w:val="false"/>
          <w:smallCaps w:val="false"/>
        </w:rPr>
      </w:pPr>
      <w:r>
        <w:rPr>
          <w:caps w:val="false"/>
          <w:smallCaps w:val="false"/>
        </w:rPr>
        <w:t> </w:t>
      </w:r>
    </w:p>
    <w:tbl>
      <w:tblPr>
        <w:tblW w:w="1925" w:type="dxa"/>
        <w:jc w:val="left"/>
        <w:tblInd w:w="0" w:type="dxa"/>
        <w:tblLayout w:type="fixed"/>
        <w:tblCellMar>
          <w:top w:w="0" w:type="dxa"/>
          <w:left w:w="0" w:type="dxa"/>
          <w:bottom w:w="0" w:type="dxa"/>
          <w:right w:w="0" w:type="dxa"/>
        </w:tblCellMar>
      </w:tblPr>
      <w:tblGrid>
        <w:gridCol w:w="105"/>
        <w:gridCol w:w="1820"/>
      </w:tblGrid>
      <w:tr>
        <w:trPr/>
        <w:tc>
          <w:tcPr>
            <w:tcW w:w="105" w:type="dxa"/>
            <w:tcBorders/>
            <w:vAlign w:val="center"/>
          </w:tcPr>
          <w:p>
            <w:pPr>
              <w:pStyle w:val="TableContents"/>
              <w:bidi w:val="0"/>
              <w:spacing w:before="0" w:after="283"/>
              <w:jc w:val="left"/>
              <w:rPr/>
            </w:pPr>
            <w:r>
              <w:rPr/>
              <w:t> </w:t>
            </w:r>
          </w:p>
        </w:tc>
        <w:tc>
          <w:tcPr>
            <w:tcW w:w="1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MacArthur</w:t>
            </w:r>
          </w:p>
        </w:tc>
      </w:tr>
      <w:tr>
        <w:trPr/>
        <w:tc>
          <w:tcPr>
            <w:tcW w:w="10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MacArthur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2" w:name="tm2626717d1_ex99-1.htm"/>
      <w:bookmarkStart w:id="33" w:name="kstm2626717d1_ex991"/>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 under the Securities Exchange Act of 1934, as amended, the undersigned hereby agree, as of September 30, 2026, that only one statement containing the information required by Schedule 13G, and each amendment thereto, need be filed with respect to the ownership by each of the undersigned of shares of Class A common stock and Class B common stock of i3 Verticals, Inc., a Delaware corporation, and such statement to which this Joint Filing Agreement is attached as an exhibit is filed on behalf of each of the undersigned. Each undersigned acknowledges that each undersigned shall be responsible for the timely filing of such amendments, and for the completeness and accuracy of the information concerning it or him contained herein and therein, but shall not be responsible for the completeness and accuracy of the information concerning the others, except to the extent that he or it knows or has reason to believe that such information is inaccurate. Each undersigned hereby further agrees that this Joint Filing Agreement may be executed in any number of counterparts, each of which when so executed shall be deemed to be an original, but all of which counterparts shall together constitute one and the same instrument.</w:t>
      </w:r>
    </w:p>
    <w:p>
      <w:pPr>
        <w:pStyle w:val="TextBody"/>
        <w:bidi w:val="0"/>
        <w:spacing w:before="0" w:after="0"/>
        <w:ind w:left="0" w:right="0" w:hanging="0"/>
        <w:jc w:val="left"/>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105"/>
        <w:gridCol w:w="98"/>
        <w:gridCol w:w="384"/>
        <w:gridCol w:w="3271"/>
      </w:tblGrid>
      <w:tr>
        <w:trPr/>
        <w:tc>
          <w:tcPr>
            <w:tcW w:w="105" w:type="dxa"/>
            <w:tcBorders/>
            <w:vAlign w:val="center"/>
          </w:tcPr>
          <w:p>
            <w:pPr>
              <w:pStyle w:val="TableContents"/>
              <w:bidi w:val="0"/>
              <w:spacing w:before="0" w:after="283"/>
              <w:jc w:val="left"/>
              <w:rPr/>
            </w:pPr>
            <w:r>
              <w:rPr/>
              <w:t> </w:t>
            </w:r>
          </w:p>
        </w:tc>
        <w:tc>
          <w:tcPr>
            <w:tcW w:w="375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FORAGER FUND, L.P.</w:t>
            </w:r>
          </w:p>
        </w:tc>
      </w:tr>
      <w:tr>
        <w:trPr/>
        <w:tc>
          <w:tcPr>
            <w:tcW w:w="105" w:type="dxa"/>
            <w:tcBorders/>
            <w:vAlign w:val="center"/>
          </w:tcPr>
          <w:p>
            <w:pPr>
              <w:pStyle w:val="TableContents"/>
              <w:bidi w:val="0"/>
              <w:spacing w:before="0" w:after="283"/>
              <w:jc w:val="left"/>
              <w:rPr/>
            </w:pPr>
            <w:r>
              <w:rPr/>
              <w:t> </w:t>
            </w:r>
          </w:p>
        </w:tc>
        <w:tc>
          <w:tcPr>
            <w:tcW w:w="3753" w:type="dxa"/>
            <w:gridSpan w:val="3"/>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Forager Capital Management, LLC,</w:t>
            </w:r>
          </w:p>
        </w:tc>
      </w:tr>
      <w:tr>
        <w:trPr/>
        <w:tc>
          <w:tcPr>
            <w:tcW w:w="105" w:type="dxa"/>
            <w:tcBorders/>
            <w:vAlign w:val="center"/>
          </w:tcPr>
          <w:p>
            <w:pPr>
              <w:pStyle w:val="TableContents"/>
              <w:bidi w:val="0"/>
              <w:spacing w:before="0" w:after="283"/>
              <w:jc w:val="left"/>
              <w:rPr/>
            </w:pPr>
            <w:r>
              <w:rPr/>
              <w:t> </w:t>
            </w:r>
          </w:p>
        </w:tc>
        <w:tc>
          <w:tcPr>
            <w:tcW w:w="482" w:type="dxa"/>
            <w:gridSpan w:val="2"/>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105" w:type="dxa"/>
            <w:tcBorders/>
            <w:vAlign w:val="center"/>
          </w:tcPr>
          <w:p>
            <w:pPr>
              <w:pStyle w:val="TableContents"/>
              <w:bidi w:val="0"/>
              <w:spacing w:before="0" w:after="283"/>
              <w:jc w:val="left"/>
              <w:rPr/>
            </w:pPr>
            <w:r>
              <w:rPr/>
              <w:t> </w:t>
            </w:r>
          </w:p>
        </w:tc>
        <w:tc>
          <w:tcPr>
            <w:tcW w:w="482" w:type="dxa"/>
            <w:gridSpan w:val="2"/>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MacArthur</w:t>
            </w:r>
          </w:p>
        </w:tc>
      </w:tr>
      <w:tr>
        <w:trPr/>
        <w:tc>
          <w:tcPr>
            <w:tcW w:w="105" w:type="dxa"/>
            <w:tcBorders/>
            <w:vAlign w:val="center"/>
          </w:tcPr>
          <w:p>
            <w:pPr>
              <w:pStyle w:val="TableContents"/>
              <w:bidi w:val="0"/>
              <w:spacing w:before="0" w:after="283"/>
              <w:jc w:val="left"/>
              <w:rPr/>
            </w:pPr>
            <w:r>
              <w:rPr/>
              <w:t> </w:t>
            </w:r>
          </w:p>
        </w:tc>
        <w:tc>
          <w:tcPr>
            <w:tcW w:w="482" w:type="dxa"/>
            <w:gridSpan w:val="2"/>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MacArthur</w:t>
            </w:r>
          </w:p>
        </w:tc>
      </w:tr>
      <w:tr>
        <w:trPr/>
        <w:tc>
          <w:tcPr>
            <w:tcW w:w="105" w:type="dxa"/>
            <w:tcBorders/>
            <w:vAlign w:val="center"/>
          </w:tcPr>
          <w:p>
            <w:pPr>
              <w:pStyle w:val="TableContents"/>
              <w:bidi w:val="0"/>
              <w:spacing w:before="0" w:after="283"/>
              <w:jc w:val="left"/>
              <w:rPr/>
            </w:pPr>
            <w:r>
              <w:rPr/>
              <w:t> </w:t>
            </w:r>
          </w:p>
        </w:tc>
        <w:tc>
          <w:tcPr>
            <w:tcW w:w="482" w:type="dxa"/>
            <w:gridSpan w:val="2"/>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Partner</w:t>
            </w:r>
          </w:p>
        </w:tc>
      </w:tr>
      <w:tr>
        <w:trPr/>
        <w:tc>
          <w:tcPr>
            <w:tcW w:w="105" w:type="dxa"/>
            <w:tcBorders/>
            <w:vAlign w:val="center"/>
          </w:tcPr>
          <w:p>
            <w:pPr>
              <w:pStyle w:val="TableContents"/>
              <w:bidi w:val="0"/>
              <w:spacing w:before="0" w:after="283"/>
              <w:jc w:val="left"/>
              <w:rPr/>
            </w:pPr>
            <w:r>
              <w:rPr/>
              <w:t> </w:t>
            </w:r>
          </w:p>
        </w:tc>
        <w:tc>
          <w:tcPr>
            <w:tcW w:w="482" w:type="dxa"/>
            <w:gridSpan w:val="2"/>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75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FORAGER CAPITAL MANAGEMENT, LLC</w:t>
            </w:r>
          </w:p>
        </w:tc>
      </w:tr>
      <w:tr>
        <w:trPr/>
        <w:tc>
          <w:tcPr>
            <w:tcW w:w="105" w:type="dxa"/>
            <w:tcBorders/>
            <w:vAlign w:val="center"/>
          </w:tcPr>
          <w:p>
            <w:pPr>
              <w:pStyle w:val="TableContents"/>
              <w:bidi w:val="0"/>
              <w:spacing w:before="0" w:after="283"/>
              <w:jc w:val="left"/>
              <w:rPr/>
            </w:pPr>
            <w:r>
              <w:rPr/>
              <w:t> </w:t>
            </w:r>
          </w:p>
        </w:tc>
        <w:tc>
          <w:tcPr>
            <w:tcW w:w="482" w:type="dxa"/>
            <w:gridSpan w:val="2"/>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MacArthur</w:t>
            </w:r>
          </w:p>
        </w:tc>
      </w:tr>
      <w:tr>
        <w:trPr/>
        <w:tc>
          <w:tcPr>
            <w:tcW w:w="105" w:type="dxa"/>
            <w:tcBorders/>
            <w:vAlign w:val="center"/>
          </w:tcPr>
          <w:p>
            <w:pPr>
              <w:pStyle w:val="TableContents"/>
              <w:bidi w:val="0"/>
              <w:spacing w:before="0" w:after="283"/>
              <w:jc w:val="left"/>
              <w:rPr/>
            </w:pPr>
            <w:r>
              <w:rPr/>
              <w:t> </w:t>
            </w:r>
          </w:p>
        </w:tc>
        <w:tc>
          <w:tcPr>
            <w:tcW w:w="482" w:type="dxa"/>
            <w:gridSpan w:val="2"/>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MacArthur</w:t>
            </w:r>
          </w:p>
        </w:tc>
      </w:tr>
      <w:tr>
        <w:trPr/>
        <w:tc>
          <w:tcPr>
            <w:tcW w:w="105" w:type="dxa"/>
            <w:tcBorders/>
            <w:vAlign w:val="center"/>
          </w:tcPr>
          <w:p>
            <w:pPr>
              <w:pStyle w:val="TableContents"/>
              <w:bidi w:val="0"/>
              <w:spacing w:before="0" w:after="283"/>
              <w:jc w:val="left"/>
              <w:rPr/>
            </w:pPr>
            <w:r>
              <w:rPr/>
              <w:t> </w:t>
            </w:r>
          </w:p>
        </w:tc>
        <w:tc>
          <w:tcPr>
            <w:tcW w:w="482" w:type="dxa"/>
            <w:gridSpan w:val="2"/>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Partner</w:t>
            </w:r>
          </w:p>
        </w:tc>
      </w:tr>
      <w:tr>
        <w:trPr/>
        <w:tc>
          <w:tcPr>
            <w:tcW w:w="105" w:type="dxa"/>
            <w:tcBorders/>
            <w:vAlign w:val="center"/>
          </w:tcPr>
          <w:p>
            <w:pPr>
              <w:pStyle w:val="TableContents"/>
              <w:bidi w:val="0"/>
              <w:spacing w:before="0" w:after="283"/>
              <w:jc w:val="left"/>
              <w:rPr/>
            </w:pPr>
            <w:r>
              <w:rPr/>
              <w:t> </w:t>
            </w:r>
          </w:p>
        </w:tc>
        <w:tc>
          <w:tcPr>
            <w:tcW w:w="482" w:type="dxa"/>
            <w:gridSpan w:val="2"/>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75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KISSEL</w:t>
            </w:r>
          </w:p>
        </w:tc>
      </w:tr>
      <w:tr>
        <w:trPr/>
        <w:tc>
          <w:tcPr>
            <w:tcW w:w="105" w:type="dxa"/>
            <w:tcBorders/>
            <w:vAlign w:val="center"/>
          </w:tcPr>
          <w:p>
            <w:pPr>
              <w:pStyle w:val="TableContents"/>
              <w:bidi w:val="0"/>
              <w:spacing w:before="0" w:after="283"/>
              <w:jc w:val="left"/>
              <w:rPr/>
            </w:pPr>
            <w:r>
              <w:rPr/>
              <w:t> </w:t>
            </w:r>
          </w:p>
        </w:tc>
        <w:tc>
          <w:tcPr>
            <w:tcW w:w="3753" w:type="dxa"/>
            <w:gridSpan w:val="3"/>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753" w:type="dxa"/>
            <w:gridSpan w:val="3"/>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Kissel</w:t>
            </w:r>
          </w:p>
        </w:tc>
      </w:tr>
      <w:tr>
        <w:trPr/>
        <w:tc>
          <w:tcPr>
            <w:tcW w:w="105" w:type="dxa"/>
            <w:tcBorders/>
            <w:vAlign w:val="center"/>
          </w:tcPr>
          <w:p>
            <w:pPr>
              <w:pStyle w:val="TableContents"/>
              <w:bidi w:val="0"/>
              <w:spacing w:before="0" w:after="283"/>
              <w:jc w:val="left"/>
              <w:rPr/>
            </w:pPr>
            <w:r>
              <w:rPr/>
              <w:t> </w:t>
            </w:r>
          </w:p>
        </w:tc>
        <w:tc>
          <w:tcPr>
            <w:tcW w:w="375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Kissel</w:t>
            </w:r>
          </w:p>
        </w:tc>
      </w:tr>
      <w:tr>
        <w:trPr/>
        <w:tc>
          <w:tcPr>
            <w:tcW w:w="105" w:type="dxa"/>
            <w:tcBorders/>
            <w:vAlign w:val="center"/>
          </w:tcPr>
          <w:p>
            <w:pPr>
              <w:pStyle w:val="TableContents"/>
              <w:bidi w:val="0"/>
              <w:spacing w:before="0" w:after="283"/>
              <w:jc w:val="left"/>
              <w:rPr/>
            </w:pPr>
            <w:r>
              <w:rPr/>
              <w:t> </w:t>
            </w:r>
          </w:p>
        </w:tc>
        <w:tc>
          <w:tcPr>
            <w:tcW w:w="3753" w:type="dxa"/>
            <w:gridSpan w:val="3"/>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75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MACARTHUR</w:t>
            </w:r>
          </w:p>
        </w:tc>
      </w:tr>
      <w:tr>
        <w:trPr/>
        <w:tc>
          <w:tcPr>
            <w:tcW w:w="105" w:type="dxa"/>
            <w:tcBorders/>
            <w:vAlign w:val="center"/>
          </w:tcPr>
          <w:p>
            <w:pPr>
              <w:pStyle w:val="TableContents"/>
              <w:bidi w:val="0"/>
              <w:spacing w:before="0" w:after="283"/>
              <w:jc w:val="left"/>
              <w:rPr/>
            </w:pPr>
            <w:r>
              <w:rPr/>
              <w:t> </w:t>
            </w:r>
          </w:p>
        </w:tc>
        <w:tc>
          <w:tcPr>
            <w:tcW w:w="3753" w:type="dxa"/>
            <w:gridSpan w:val="3"/>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753" w:type="dxa"/>
            <w:gridSpan w:val="3"/>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MacArthur</w:t>
            </w:r>
          </w:p>
        </w:tc>
      </w:tr>
      <w:tr>
        <w:trPr/>
        <w:tc>
          <w:tcPr>
            <w:tcW w:w="105" w:type="dxa"/>
            <w:tcBorders/>
            <w:vAlign w:val="center"/>
          </w:tcPr>
          <w:p>
            <w:pPr>
              <w:pStyle w:val="TableContents"/>
              <w:bidi w:val="0"/>
              <w:spacing w:before="0" w:after="283"/>
              <w:jc w:val="left"/>
              <w:rPr/>
            </w:pPr>
            <w:r>
              <w:rPr/>
              <w:t> </w:t>
            </w:r>
          </w:p>
        </w:tc>
        <w:tc>
          <w:tcPr>
            <w:tcW w:w="375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MacArthur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2754</Words>
  <Characters>14256</Characters>
  <CharactersWithSpaces>16973</CharactersWithSpaces>
  <Paragraphs>425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