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11626.xml.htm"/>
      <w:bookmarkStart w:id="1" w:name="kswkform4_17901116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GEOFFREY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BURTON HILLS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i3 Verticals,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IIIV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2"/>
        <w:gridCol w:w="771"/>
        <w:gridCol w:w="599"/>
        <w:gridCol w:w="350"/>
        <w:gridCol w:w="892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14.78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54,819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shares withheld to cover the payment of taxes following the vesting of 3,750 restricted stock units originally granted on September 20,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Maple, Attorney-in-Fact for Geoffrey C.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8020" TargetMode="External"/><Relationship Id="rId5" Type="http://schemas.openxmlformats.org/officeDocument/2006/relationships/hyperlink" Target="http://www.sec.gov/cgi-bin/browse-edgar?action=getcompany&amp;CIK=0001728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3267</Characters>
  <CharactersWithSpaces>3800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