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132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SCHEDULE 14A</w:t>
      </w:r>
    </w:p>
    <w:p>
      <w:pPr>
        <w:pStyle w:val="TextBody"/>
        <w:bidi w:val="0"/>
        <w:spacing w:lineRule="auto" w:line="288" w:before="132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 14(A) OF THE SECURITIES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EXCHANGE ACT OF 1934</w:t>
      </w:r>
    </w:p>
    <w:p>
      <w:pPr>
        <w:pStyle w:val="TextBody"/>
        <w:bidi w:val="0"/>
        <w:spacing w:lineRule="auto" w:line="288" w:before="264" w:after="283"/>
        <w:jc w:val="left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Filed by the Registrant ☒     Filed by a Party other than the Registrant ☐</w:t>
      </w:r>
    </w:p>
    <w:p>
      <w:pPr>
        <w:pStyle w:val="TextBody"/>
        <w:bidi w:val="0"/>
        <w:spacing w:lineRule="auto" w:line="288" w:before="264" w:after="283"/>
        <w:jc w:val="left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Check the appropriate box:</w:t>
      </w:r>
    </w:p>
    <w:tbl>
      <w:tblPr>
        <w:tblW w:w="73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951"/>
        <w:gridCol w:w="1951"/>
        <w:gridCol w:w="275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264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i3 Verticals, Inc.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44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Registrant as Specified in its Charter)</w:t>
      </w:r>
    </w:p>
    <w:tbl>
      <w:tblPr>
        <w:tblW w:w="60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6"/>
        <w:gridCol w:w="1691"/>
        <w:gridCol w:w="2398"/>
      </w:tblGrid>
      <w:tr>
        <w:trPr/>
        <w:tc>
          <w:tcPr>
            <w:tcW w:w="1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lineRule="auto" w:line="288" w:before="264" w:after="283"/>
        <w:jc w:val="left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Payment of Filing Fee (Check all boxes that apply):</w:t>
      </w:r>
    </w:p>
    <w:tbl>
      <w:tblPr>
        <w:tblW w:w="90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894"/>
        <w:gridCol w:w="894"/>
        <w:gridCol w:w="894"/>
        <w:gridCol w:w="894"/>
        <w:gridCol w:w="894"/>
        <w:gridCol w:w="894"/>
        <w:gridCol w:w="894"/>
        <w:gridCol w:w="894"/>
        <w:gridCol w:w="1262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41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41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858000" cy="870585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0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5725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132</Words>
  <Characters>712</Characters>
  <CharactersWithSpaces>830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