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6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1"/>
          <w:szCs w:val="11"/>
          <w:b w:val="1"/>
          <w:bCs w:val="1"/>
          <w:color w:val="auto"/>
        </w:rPr>
        <w:t>CURRENT REPORT</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1"/>
          <w:szCs w:val="11"/>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February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3406775</wp:posOffset>
            </wp:positionH>
            <wp:positionV relativeFrom="paragraph">
              <wp:posOffset>178435</wp:posOffset>
            </wp:positionV>
            <wp:extent cx="354330" cy="422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330" cy="422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i3 Verticals, Inc.</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8"/>
          <w:szCs w:val="8"/>
          <w:b w:val="1"/>
          <w:bCs w:val="1"/>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tbl>
      <w:tblPr>
        <w:tblLayout w:type="fixed"/>
        <w:tblInd w:w="1480" w:type="dxa"/>
        <w:tblCellMar>
          <w:top w:w="0" w:type="dxa"/>
          <w:left w:w="0" w:type="dxa"/>
          <w:bottom w:w="0" w:type="dxa"/>
          <w:right w:w="0" w:type="dxa"/>
        </w:tblCellMar>
      </w:tblPr>
      <w:tr>
        <w:trPr>
          <w:trHeight w:val="125"/>
        </w:trPr>
        <w:tc>
          <w:tcPr>
            <w:tcW w:w="1260" w:type="dxa"/>
            <w:vAlign w:val="bottom"/>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Delaware</w:t>
            </w:r>
          </w:p>
        </w:tc>
        <w:tc>
          <w:tcPr>
            <w:tcW w:w="5160" w:type="dxa"/>
            <w:vAlign w:val="bottom"/>
          </w:tcPr>
          <w:p>
            <w:pPr>
              <w:ind w:left="2800"/>
              <w:spacing w:after="0"/>
              <w:rPr>
                <w:sz w:val="20"/>
                <w:szCs w:val="20"/>
                <w:color w:val="auto"/>
              </w:rPr>
            </w:pPr>
            <w:r>
              <w:rPr>
                <w:rFonts w:ascii="Times New Roman" w:cs="Times New Roman" w:eastAsia="Times New Roman" w:hAnsi="Times New Roman"/>
                <w:sz w:val="10"/>
                <w:szCs w:val="10"/>
                <w:b w:val="1"/>
                <w:bCs w:val="1"/>
                <w:color w:val="auto"/>
              </w:rPr>
              <w:t>001-38532</w:t>
            </w: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82-4052852</w:t>
            </w:r>
          </w:p>
        </w:tc>
      </w:tr>
      <w:tr>
        <w:trPr>
          <w:trHeight w:val="89"/>
        </w:trPr>
        <w:tc>
          <w:tcPr>
            <w:tcW w:w="1260" w:type="dxa"/>
            <w:vAlign w:val="bottom"/>
          </w:tcPr>
          <w:p>
            <w:pPr>
              <w:jc w:val="center"/>
              <w:ind w:right="360"/>
              <w:spacing w:after="0"/>
              <w:rPr>
                <w:sz w:val="20"/>
                <w:szCs w:val="20"/>
                <w:color w:val="auto"/>
              </w:rPr>
            </w:pPr>
            <w:r>
              <w:rPr>
                <w:rFonts w:ascii="Times New Roman" w:cs="Times New Roman" w:eastAsia="Times New Roman" w:hAnsi="Times New Roman"/>
                <w:sz w:val="7"/>
                <w:szCs w:val="7"/>
                <w:b w:val="1"/>
                <w:bCs w:val="1"/>
                <w:color w:val="auto"/>
              </w:rPr>
              <w:t>(State or Other Jurisdiction</w:t>
            </w:r>
          </w:p>
        </w:tc>
        <w:tc>
          <w:tcPr>
            <w:tcW w:w="5160" w:type="dxa"/>
            <w:vAlign w:val="bottom"/>
          </w:tcPr>
          <w:p>
            <w:pPr>
              <w:ind w:left="2820"/>
              <w:spacing w:after="0"/>
              <w:rPr>
                <w:sz w:val="20"/>
                <w:szCs w:val="20"/>
                <w:color w:val="auto"/>
              </w:rPr>
            </w:pPr>
            <w:r>
              <w:rPr>
                <w:rFonts w:ascii="Times New Roman" w:cs="Times New Roman" w:eastAsia="Times New Roman" w:hAnsi="Times New Roman"/>
                <w:sz w:val="7"/>
                <w:szCs w:val="7"/>
                <w:b w:val="1"/>
                <w:bCs w:val="1"/>
                <w:color w:val="auto"/>
              </w:rPr>
              <w:t>(Commission</w:t>
            </w:r>
          </w:p>
        </w:tc>
        <w:tc>
          <w:tcPr>
            <w:tcW w:w="1860" w:type="dxa"/>
            <w:vAlign w:val="bottom"/>
          </w:tcPr>
          <w:p>
            <w:pPr>
              <w:jc w:val="center"/>
              <w:ind w:left="1259"/>
              <w:spacing w:after="0"/>
              <w:rPr>
                <w:sz w:val="20"/>
                <w:szCs w:val="20"/>
                <w:color w:val="auto"/>
              </w:rPr>
            </w:pPr>
            <w:r>
              <w:rPr>
                <w:rFonts w:ascii="Times New Roman" w:cs="Times New Roman" w:eastAsia="Times New Roman" w:hAnsi="Times New Roman"/>
                <w:sz w:val="7"/>
                <w:szCs w:val="7"/>
                <w:b w:val="1"/>
                <w:bCs w:val="1"/>
                <w:color w:val="auto"/>
              </w:rPr>
              <w:t>(I.R.S. Employer</w:t>
            </w:r>
          </w:p>
        </w:tc>
      </w:tr>
      <w:tr>
        <w:trPr>
          <w:trHeight w:val="94"/>
        </w:trPr>
        <w:tc>
          <w:tcPr>
            <w:tcW w:w="1260" w:type="dxa"/>
            <w:vAlign w:val="bottom"/>
          </w:tcPr>
          <w:p>
            <w:pPr>
              <w:jc w:val="center"/>
              <w:ind w:right="360"/>
              <w:spacing w:after="0"/>
              <w:rPr>
                <w:sz w:val="20"/>
                <w:szCs w:val="20"/>
                <w:color w:val="auto"/>
              </w:rPr>
            </w:pPr>
            <w:r>
              <w:rPr>
                <w:rFonts w:ascii="Times New Roman" w:cs="Times New Roman" w:eastAsia="Times New Roman" w:hAnsi="Times New Roman"/>
                <w:sz w:val="7"/>
                <w:szCs w:val="7"/>
                <w:b w:val="1"/>
                <w:bCs w:val="1"/>
                <w:color w:val="auto"/>
              </w:rPr>
              <w:t>of Incorporation)</w:t>
            </w:r>
          </w:p>
        </w:tc>
        <w:tc>
          <w:tcPr>
            <w:tcW w:w="5160" w:type="dxa"/>
            <w:vAlign w:val="bottom"/>
          </w:tcPr>
          <w:p>
            <w:pPr>
              <w:ind w:left="2800"/>
              <w:spacing w:after="0"/>
              <w:rPr>
                <w:sz w:val="20"/>
                <w:szCs w:val="20"/>
                <w:color w:val="auto"/>
              </w:rPr>
            </w:pPr>
            <w:r>
              <w:rPr>
                <w:rFonts w:ascii="Times New Roman" w:cs="Times New Roman" w:eastAsia="Times New Roman" w:hAnsi="Times New Roman"/>
                <w:sz w:val="7"/>
                <w:szCs w:val="7"/>
                <w:b w:val="1"/>
                <w:bCs w:val="1"/>
                <w:color w:val="auto"/>
              </w:rPr>
              <w:t>File Number)</w:t>
            </w:r>
          </w:p>
        </w:tc>
        <w:tc>
          <w:tcPr>
            <w:tcW w:w="1860" w:type="dxa"/>
            <w:vAlign w:val="bottom"/>
          </w:tcPr>
          <w:p>
            <w:pPr>
              <w:jc w:val="center"/>
              <w:ind w:left="1259"/>
              <w:spacing w:after="0"/>
              <w:rPr>
                <w:sz w:val="20"/>
                <w:szCs w:val="20"/>
                <w:color w:val="auto"/>
              </w:rPr>
            </w:pPr>
            <w:r>
              <w:rPr>
                <w:rFonts w:ascii="Times New Roman" w:cs="Times New Roman" w:eastAsia="Times New Roman" w:hAnsi="Times New Roman"/>
                <w:sz w:val="7"/>
                <w:szCs w:val="7"/>
                <w:b w:val="1"/>
                <w:bCs w:val="1"/>
                <w:color w:val="auto"/>
              </w:rPr>
              <w:t>Identification No.)</w:t>
            </w:r>
          </w:p>
        </w:tc>
      </w:tr>
      <w:tr>
        <w:trPr>
          <w:trHeight w:val="222"/>
        </w:trPr>
        <w:tc>
          <w:tcPr>
            <w:tcW w:w="1260" w:type="dxa"/>
            <w:vAlign w:val="bottom"/>
          </w:tcPr>
          <w:p>
            <w:pPr>
              <w:spacing w:after="0"/>
              <w:rPr>
                <w:sz w:val="19"/>
                <w:szCs w:val="19"/>
                <w:color w:val="auto"/>
              </w:rPr>
            </w:pPr>
          </w:p>
        </w:tc>
        <w:tc>
          <w:tcPr>
            <w:tcW w:w="5160" w:type="dxa"/>
            <w:vAlign w:val="bottom"/>
          </w:tcPr>
          <w:p>
            <w:pPr>
              <w:jc w:val="center"/>
              <w:ind w:right="3038"/>
              <w:spacing w:after="0"/>
              <w:rPr>
                <w:sz w:val="20"/>
                <w:szCs w:val="20"/>
                <w:color w:val="auto"/>
              </w:rPr>
            </w:pPr>
            <w:r>
              <w:rPr>
                <w:rFonts w:ascii="Times New Roman" w:cs="Times New Roman" w:eastAsia="Times New Roman" w:hAnsi="Times New Roman"/>
                <w:sz w:val="10"/>
                <w:szCs w:val="10"/>
                <w:b w:val="1"/>
                <w:bCs w:val="1"/>
                <w:color w:val="auto"/>
                <w:w w:val="94"/>
              </w:rPr>
              <w:t>40 Burton Hills Blvd., Suite 415</w:t>
            </w:r>
          </w:p>
        </w:tc>
        <w:tc>
          <w:tcPr>
            <w:tcW w:w="1860" w:type="dxa"/>
            <w:vAlign w:val="bottom"/>
          </w:tcPr>
          <w:p>
            <w:pPr>
              <w:spacing w:after="0"/>
              <w:rPr>
                <w:sz w:val="19"/>
                <w:szCs w:val="19"/>
                <w:color w:val="auto"/>
              </w:rPr>
            </w:pPr>
          </w:p>
        </w:tc>
      </w:tr>
      <w:tr>
        <w:trPr>
          <w:trHeight w:val="134"/>
        </w:trPr>
        <w:tc>
          <w:tcPr>
            <w:tcW w:w="1260" w:type="dxa"/>
            <w:vAlign w:val="bottom"/>
          </w:tcPr>
          <w:p>
            <w:pPr>
              <w:spacing w:after="0"/>
              <w:rPr>
                <w:sz w:val="11"/>
                <w:szCs w:val="11"/>
                <w:color w:val="auto"/>
              </w:rPr>
            </w:pPr>
          </w:p>
        </w:tc>
        <w:tc>
          <w:tcPr>
            <w:tcW w:w="5160" w:type="dxa"/>
            <w:vAlign w:val="bottom"/>
          </w:tcPr>
          <w:p>
            <w:pPr>
              <w:jc w:val="center"/>
              <w:ind w:right="3038"/>
              <w:spacing w:after="0"/>
              <w:rPr>
                <w:sz w:val="20"/>
                <w:szCs w:val="20"/>
                <w:color w:val="auto"/>
              </w:rPr>
            </w:pPr>
            <w:r>
              <w:rPr>
                <w:rFonts w:ascii="Times New Roman" w:cs="Times New Roman" w:eastAsia="Times New Roman" w:hAnsi="Times New Roman"/>
                <w:sz w:val="10"/>
                <w:szCs w:val="10"/>
                <w:b w:val="1"/>
                <w:bCs w:val="1"/>
                <w:color w:val="auto"/>
                <w:w w:val="95"/>
              </w:rPr>
              <w:t>Nashville, TN</w:t>
            </w:r>
          </w:p>
        </w:tc>
        <w:tc>
          <w:tcPr>
            <w:tcW w:w="1860" w:type="dxa"/>
            <w:vAlign w:val="bottom"/>
          </w:tcPr>
          <w:p>
            <w:pPr>
              <w:jc w:val="right"/>
              <w:ind w:right="119"/>
              <w:spacing w:after="0"/>
              <w:rPr>
                <w:sz w:val="20"/>
                <w:szCs w:val="20"/>
                <w:color w:val="auto"/>
              </w:rPr>
            </w:pPr>
            <w:r>
              <w:rPr>
                <w:rFonts w:ascii="Times New Roman" w:cs="Times New Roman" w:eastAsia="Times New Roman" w:hAnsi="Times New Roman"/>
                <w:sz w:val="10"/>
                <w:szCs w:val="10"/>
                <w:b w:val="1"/>
                <w:bCs w:val="1"/>
                <w:color w:val="auto"/>
              </w:rPr>
              <w:t>37215</w:t>
            </w:r>
          </w:p>
        </w:tc>
      </w:tr>
      <w:tr>
        <w:trPr>
          <w:trHeight w:val="111"/>
        </w:trPr>
        <w:tc>
          <w:tcPr>
            <w:tcW w:w="1260" w:type="dxa"/>
            <w:vAlign w:val="bottom"/>
          </w:tcPr>
          <w:p>
            <w:pPr>
              <w:spacing w:after="0"/>
              <w:rPr>
                <w:sz w:val="9"/>
                <w:szCs w:val="9"/>
                <w:color w:val="auto"/>
              </w:rPr>
            </w:pPr>
          </w:p>
        </w:tc>
        <w:tc>
          <w:tcPr>
            <w:tcW w:w="5160" w:type="dxa"/>
            <w:vAlign w:val="bottom"/>
          </w:tcPr>
          <w:p>
            <w:pPr>
              <w:jc w:val="center"/>
              <w:ind w:right="3038"/>
              <w:spacing w:after="0"/>
              <w:rPr>
                <w:sz w:val="20"/>
                <w:szCs w:val="20"/>
                <w:color w:val="auto"/>
              </w:rPr>
            </w:pPr>
            <w:r>
              <w:rPr>
                <w:rFonts w:ascii="Times New Roman" w:cs="Times New Roman" w:eastAsia="Times New Roman" w:hAnsi="Times New Roman"/>
                <w:sz w:val="7"/>
                <w:szCs w:val="7"/>
                <w:b w:val="1"/>
                <w:bCs w:val="1"/>
                <w:color w:val="auto"/>
              </w:rPr>
              <w:t>(Address of principal executive offices)</w:t>
            </w:r>
          </w:p>
        </w:tc>
        <w:tc>
          <w:tcPr>
            <w:tcW w:w="1860" w:type="dxa"/>
            <w:vAlign w:val="bottom"/>
          </w:tcPr>
          <w:p>
            <w:pPr>
              <w:jc w:val="center"/>
              <w:ind w:left="1279"/>
              <w:spacing w:after="0"/>
              <w:rPr>
                <w:sz w:val="20"/>
                <w:szCs w:val="20"/>
                <w:color w:val="auto"/>
              </w:rPr>
            </w:pPr>
            <w:r>
              <w:rPr>
                <w:rFonts w:ascii="Times New Roman" w:cs="Times New Roman" w:eastAsia="Times New Roman" w:hAnsi="Times New Roman"/>
                <w:sz w:val="7"/>
                <w:szCs w:val="7"/>
                <w:b w:val="1"/>
                <w:bCs w:val="1"/>
                <w:color w:val="auto"/>
              </w:rPr>
              <w:t>(Zip Code)</w:t>
            </w:r>
          </w:p>
        </w:tc>
      </w:tr>
      <w:tr>
        <w:trPr>
          <w:trHeight w:val="320"/>
        </w:trPr>
        <w:tc>
          <w:tcPr>
            <w:tcW w:w="1260" w:type="dxa"/>
            <w:vAlign w:val="bottom"/>
          </w:tcPr>
          <w:p>
            <w:pPr>
              <w:spacing w:after="0"/>
              <w:rPr>
                <w:sz w:val="24"/>
                <w:szCs w:val="24"/>
                <w:color w:val="auto"/>
              </w:rPr>
            </w:pPr>
          </w:p>
        </w:tc>
        <w:tc>
          <w:tcPr>
            <w:tcW w:w="5160" w:type="dxa"/>
            <w:vAlign w:val="bottom"/>
          </w:tcPr>
          <w:p>
            <w:pPr>
              <w:jc w:val="center"/>
              <w:ind w:left="598"/>
              <w:spacing w:after="0"/>
              <w:rPr>
                <w:sz w:val="20"/>
                <w:szCs w:val="20"/>
                <w:color w:val="auto"/>
              </w:rPr>
            </w:pPr>
            <w:r>
              <w:rPr>
                <w:rFonts w:ascii="Times New Roman" w:cs="Times New Roman" w:eastAsia="Times New Roman" w:hAnsi="Times New Roman"/>
                <w:sz w:val="10"/>
                <w:szCs w:val="10"/>
                <w:b w:val="1"/>
                <w:bCs w:val="1"/>
                <w:color w:val="auto"/>
                <w:w w:val="95"/>
              </w:rPr>
              <w:t>(615) 465-4487</w:t>
            </w:r>
          </w:p>
        </w:tc>
        <w:tc>
          <w:tcPr>
            <w:tcW w:w="1860" w:type="dxa"/>
            <w:vAlign w:val="bottom"/>
          </w:tcPr>
          <w:p>
            <w:pPr>
              <w:spacing w:after="0"/>
              <w:rPr>
                <w:sz w:val="24"/>
                <w:szCs w:val="24"/>
                <w:color w:val="auto"/>
              </w:rPr>
            </w:pPr>
          </w:p>
        </w:tc>
      </w:tr>
      <w:tr>
        <w:trPr>
          <w:trHeight w:val="94"/>
        </w:trPr>
        <w:tc>
          <w:tcPr>
            <w:tcW w:w="1260" w:type="dxa"/>
            <w:vAlign w:val="bottom"/>
          </w:tcPr>
          <w:p>
            <w:pPr>
              <w:spacing w:after="0"/>
              <w:rPr>
                <w:sz w:val="8"/>
                <w:szCs w:val="8"/>
                <w:color w:val="auto"/>
              </w:rPr>
            </w:pPr>
          </w:p>
        </w:tc>
        <w:tc>
          <w:tcPr>
            <w:tcW w:w="5160" w:type="dxa"/>
            <w:vAlign w:val="bottom"/>
          </w:tcPr>
          <w:p>
            <w:pPr>
              <w:jc w:val="center"/>
              <w:ind w:left="618"/>
              <w:spacing w:after="0"/>
              <w:rPr>
                <w:sz w:val="20"/>
                <w:szCs w:val="20"/>
                <w:color w:val="auto"/>
              </w:rPr>
            </w:pPr>
            <w:r>
              <w:rPr>
                <w:rFonts w:ascii="Times New Roman" w:cs="Times New Roman" w:eastAsia="Times New Roman" w:hAnsi="Times New Roman"/>
                <w:sz w:val="7"/>
                <w:szCs w:val="7"/>
                <w:b w:val="1"/>
                <w:bCs w:val="1"/>
                <w:color w:val="auto"/>
              </w:rPr>
              <w:t>(Registrant’s telephone number, including area code)</w:t>
            </w:r>
          </w:p>
        </w:tc>
        <w:tc>
          <w:tcPr>
            <w:tcW w:w="1860" w:type="dxa"/>
            <w:vAlign w:val="bottom"/>
          </w:tcPr>
          <w:p>
            <w:pPr>
              <w:spacing w:after="0"/>
              <w:rPr>
                <w:sz w:val="8"/>
                <w:szCs w:val="8"/>
                <w:color w:val="auto"/>
              </w:rPr>
            </w:pPr>
          </w:p>
        </w:tc>
      </w:tr>
      <w:tr>
        <w:trPr>
          <w:trHeight w:val="275"/>
        </w:trPr>
        <w:tc>
          <w:tcPr>
            <w:tcW w:w="1260" w:type="dxa"/>
            <w:vAlign w:val="bottom"/>
          </w:tcPr>
          <w:p>
            <w:pPr>
              <w:spacing w:after="0"/>
              <w:rPr>
                <w:sz w:val="23"/>
                <w:szCs w:val="23"/>
                <w:color w:val="auto"/>
              </w:rPr>
            </w:pPr>
          </w:p>
        </w:tc>
        <w:tc>
          <w:tcPr>
            <w:tcW w:w="5160" w:type="dxa"/>
            <w:vAlign w:val="bottom"/>
          </w:tcPr>
          <w:p>
            <w:pPr>
              <w:jc w:val="center"/>
              <w:ind w:left="618"/>
              <w:spacing w:after="0"/>
              <w:rPr>
                <w:sz w:val="20"/>
                <w:szCs w:val="20"/>
                <w:color w:val="auto"/>
              </w:rPr>
            </w:pPr>
            <w:r>
              <w:rPr>
                <w:rFonts w:ascii="Times New Roman" w:cs="Times New Roman" w:eastAsia="Times New Roman" w:hAnsi="Times New Roman"/>
                <w:sz w:val="10"/>
                <w:szCs w:val="10"/>
                <w:b w:val="1"/>
                <w:bCs w:val="1"/>
                <w:color w:val="auto"/>
                <w:w w:val="96"/>
              </w:rPr>
              <w:t>Not Applicable</w:t>
            </w:r>
          </w:p>
        </w:tc>
        <w:tc>
          <w:tcPr>
            <w:tcW w:w="1860" w:type="dxa"/>
            <w:vAlign w:val="bottom"/>
          </w:tcPr>
          <w:p>
            <w:pPr>
              <w:spacing w:after="0"/>
              <w:rPr>
                <w:sz w:val="23"/>
                <w:szCs w:val="23"/>
                <w:color w:val="auto"/>
              </w:rPr>
            </w:pPr>
          </w:p>
        </w:tc>
      </w:tr>
      <w:tr>
        <w:trPr>
          <w:trHeight w:val="94"/>
        </w:trPr>
        <w:tc>
          <w:tcPr>
            <w:tcW w:w="1260" w:type="dxa"/>
            <w:vAlign w:val="bottom"/>
          </w:tcPr>
          <w:p>
            <w:pPr>
              <w:spacing w:after="0"/>
              <w:rPr>
                <w:sz w:val="8"/>
                <w:szCs w:val="8"/>
                <w:color w:val="auto"/>
              </w:rPr>
            </w:pPr>
          </w:p>
        </w:tc>
        <w:tc>
          <w:tcPr>
            <w:tcW w:w="5160" w:type="dxa"/>
            <w:vAlign w:val="bottom"/>
          </w:tcPr>
          <w:p>
            <w:pPr>
              <w:jc w:val="center"/>
              <w:ind w:left="618"/>
              <w:spacing w:after="0"/>
              <w:rPr>
                <w:sz w:val="20"/>
                <w:szCs w:val="20"/>
                <w:color w:val="auto"/>
              </w:rPr>
            </w:pPr>
            <w:r>
              <w:rPr>
                <w:rFonts w:ascii="Times New Roman" w:cs="Times New Roman" w:eastAsia="Times New Roman" w:hAnsi="Times New Roman"/>
                <w:sz w:val="7"/>
                <w:szCs w:val="7"/>
                <w:b w:val="1"/>
                <w:bCs w:val="1"/>
                <w:color w:val="auto"/>
              </w:rPr>
              <w:t>(Former name or former address, if changed since last report)</w:t>
            </w:r>
          </w:p>
        </w:tc>
        <w:tc>
          <w:tcPr>
            <w:tcW w:w="1860" w:type="dxa"/>
            <w:vAlign w:val="bottom"/>
          </w:tcPr>
          <w:p>
            <w:pPr>
              <w:spacing w:after="0"/>
              <w:rPr>
                <w:sz w:val="8"/>
                <w:szCs w:val="8"/>
                <w:color w:val="auto"/>
              </w:rPr>
            </w:pPr>
          </w:p>
        </w:tc>
      </w:tr>
    </w:tbl>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Check the appropriate box if the Form 8-K filing is intended to simultaneously satisfy the filing obligation of the registrant under any of the following provisions (see General Instruction A.2. below):</w:t>
      </w:r>
    </w:p>
    <w:p>
      <w:pPr>
        <w:spacing w:after="0" w:line="29" w:lineRule="exact"/>
        <w:rPr>
          <w:sz w:val="24"/>
          <w:szCs w:val="24"/>
          <w:color w:val="auto"/>
        </w:rPr>
      </w:pPr>
    </w:p>
    <w:p>
      <w:pPr>
        <w:ind w:left="480" w:hanging="464"/>
        <w:spacing w:after="0"/>
        <w:tabs>
          <w:tab w:leader="none" w:pos="480" w:val="left"/>
        </w:tabs>
        <w:numPr>
          <w:ilvl w:val="1"/>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Written communications pursuant to Rule 425 under the Securities Act (17 CFR 230.425)</w:t>
      </w:r>
    </w:p>
    <w:p>
      <w:pPr>
        <w:spacing w:after="0" w:line="101" w:lineRule="exact"/>
        <w:rPr>
          <w:rFonts w:ascii="MS PGothic" w:cs="MS PGothic" w:eastAsia="MS PGothic" w:hAnsi="MS PGothic"/>
          <w:sz w:val="10"/>
          <w:szCs w:val="10"/>
          <w:color w:val="auto"/>
        </w:rPr>
      </w:pPr>
    </w:p>
    <w:p>
      <w:pPr>
        <w:ind w:left="460" w:hanging="456"/>
        <w:spacing w:after="0"/>
        <w:tabs>
          <w:tab w:leader="none" w:pos="46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92" w:lineRule="exact"/>
        <w:rPr>
          <w:rFonts w:ascii="MS PGothic" w:cs="MS PGothic" w:eastAsia="MS PGothic" w:hAnsi="MS PGothic"/>
          <w:sz w:val="10"/>
          <w:szCs w:val="10"/>
          <w:color w:val="auto"/>
        </w:rPr>
      </w:pPr>
    </w:p>
    <w:p>
      <w:pPr>
        <w:ind w:left="460" w:hanging="456"/>
        <w:spacing w:after="0"/>
        <w:tabs>
          <w:tab w:leader="none" w:pos="46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14d-2(b) under the Exchange Act (17 CFR 240.14d- 2(b))</w:t>
      </w:r>
    </w:p>
    <w:p>
      <w:pPr>
        <w:spacing w:after="0" w:line="101" w:lineRule="exact"/>
        <w:rPr>
          <w:rFonts w:ascii="MS PGothic" w:cs="MS PGothic" w:eastAsia="MS PGothic" w:hAnsi="MS PGothic"/>
          <w:sz w:val="10"/>
          <w:szCs w:val="10"/>
          <w:color w:val="auto"/>
        </w:rPr>
      </w:pPr>
    </w:p>
    <w:p>
      <w:pPr>
        <w:ind w:left="460" w:hanging="456"/>
        <w:spacing w:after="0"/>
        <w:tabs>
          <w:tab w:leader="none" w:pos="46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13e-4(c) under the Exchange Act (17 CFR 240.13e- 4(c))</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38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16"/>
        </w:trPr>
        <w:tc>
          <w:tcPr>
            <w:tcW w:w="16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Title of each class</w:t>
            </w:r>
          </w:p>
        </w:tc>
        <w:tc>
          <w:tcPr>
            <w:tcW w:w="1520" w:type="dxa"/>
            <w:vAlign w:val="bottom"/>
          </w:tcPr>
          <w:p>
            <w:pPr>
              <w:spacing w:after="0"/>
              <w:rPr>
                <w:sz w:val="10"/>
                <w:szCs w:val="10"/>
                <w:color w:val="auto"/>
              </w:rPr>
            </w:pPr>
          </w:p>
        </w:tc>
        <w:tc>
          <w:tcPr>
            <w:tcW w:w="1740" w:type="dxa"/>
            <w:vAlign w:val="bottom"/>
            <w:gridSpan w:val="2"/>
          </w:tcPr>
          <w:p>
            <w:pPr>
              <w:jc w:val="center"/>
              <w:ind w:left="972"/>
              <w:spacing w:after="0"/>
              <w:rPr>
                <w:sz w:val="20"/>
                <w:szCs w:val="20"/>
                <w:color w:val="auto"/>
              </w:rPr>
            </w:pPr>
            <w:r>
              <w:rPr>
                <w:rFonts w:ascii="Times New Roman" w:cs="Times New Roman" w:eastAsia="Times New Roman" w:hAnsi="Times New Roman"/>
                <w:sz w:val="10"/>
                <w:szCs w:val="10"/>
                <w:color w:val="auto"/>
                <w:w w:val="94"/>
              </w:rPr>
              <w:t>Trading Symbol(s)</w:t>
            </w:r>
          </w:p>
        </w:tc>
        <w:tc>
          <w:tcPr>
            <w:tcW w:w="248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134"/>
        </w:trPr>
        <w:tc>
          <w:tcPr>
            <w:tcW w:w="3820" w:type="dxa"/>
            <w:vAlign w:val="bottom"/>
            <w:gridSpan w:val="3"/>
          </w:tcPr>
          <w:p>
            <w:pPr>
              <w:jc w:val="center"/>
              <w:ind w:left="32"/>
              <w:spacing w:after="0"/>
              <w:rPr>
                <w:sz w:val="20"/>
                <w:szCs w:val="20"/>
                <w:color w:val="auto"/>
              </w:rPr>
            </w:pPr>
            <w:r>
              <w:rPr>
                <w:rFonts w:ascii="Times New Roman" w:cs="Times New Roman" w:eastAsia="Times New Roman" w:hAnsi="Times New Roman"/>
                <w:sz w:val="10"/>
                <w:szCs w:val="10"/>
                <w:color w:val="auto"/>
                <w:w w:val="94"/>
              </w:rPr>
              <w:t>Class A Common Stock, $0.0001 Par Value</w:t>
            </w:r>
          </w:p>
        </w:tc>
        <w:tc>
          <w:tcPr>
            <w:tcW w:w="10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IIIV</w:t>
            </w:r>
          </w:p>
        </w:tc>
        <w:tc>
          <w:tcPr>
            <w:tcW w:w="24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Nasdaq Global Select Market</w:t>
            </w: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jc w:val="right"/>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4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1" w:name="page2"/>
    <w:bookmarkEnd w:id="1"/>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As provided in General Instruction B.2 of Form 8-K, the information contained in Item 2.02 and 7.01 of this Current Report on Form 8-K (including Exhibits 99.1 and 99.2 hereto) shall not be deemed to be “filed” for purposes of Section 18 of the Securities Exchange Act of 1934, as amended, nor shall such information be deemed to be incorporated by reference in any filing under the Securities Act of 1933, as amended, except as shall be expressly set forth by specific reference in such a filing.</w:t>
      </w:r>
    </w:p>
    <w:p>
      <w:pPr>
        <w:spacing w:after="0" w:line="115"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On February 5, 2026, i3 Verticals, Inc. (the “Company”) issued a press release announcing the results of its operations for the three months ended December 31, 2025. A copy of the press release is furnished as Exhibit 99.1 hereto and is hereby incorporated by reference into this Item 2.02.</w:t>
      </w:r>
    </w:p>
    <w:p>
      <w:pPr>
        <w:spacing w:after="0" w:line="107"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The Company has also prepared a supplemental presentation (the “Supplemental Presentation”) providing certain supplemental financial information for the three months ended December 31, 2025. A copy of the Supplemental Presentation is furnished as Exhibit 99.2 hereto and is hereby incorporated by reference into this Item 7.01. A copy of the Supplemental Presentation is also available on the Investors section of the Company’s website, www.i3verticals.com.</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On February 5, 2026, the Company’s Board of Directors approved a new share repurchase program for the Company’s Class A common stock, under which the Company may repurchase up to $60 million of outstanding shares of Class A common stock (exclusive of fees, commissions or other expenses related to such repurchases). This new share purchase program replaces the Company’s prior share repurchase program under which the maximum dollar amount under the authorization has been expended.</w:t>
      </w:r>
    </w:p>
    <w:p>
      <w:pPr>
        <w:spacing w:after="0" w:line="119" w:lineRule="exact"/>
        <w:rPr>
          <w:sz w:val="20"/>
          <w:szCs w:val="20"/>
          <w:color w:val="auto"/>
        </w:rPr>
      </w:pPr>
    </w:p>
    <w:p>
      <w:pPr>
        <w:ind w:left="8" w:right="80" w:firstLine="432"/>
        <w:spacing w:after="0" w:line="257" w:lineRule="auto"/>
        <w:rPr>
          <w:sz w:val="20"/>
          <w:szCs w:val="20"/>
          <w:color w:val="auto"/>
        </w:rPr>
      </w:pPr>
      <w:r>
        <w:rPr>
          <w:rFonts w:ascii="Times New Roman" w:cs="Times New Roman" w:eastAsia="Times New Roman" w:hAnsi="Times New Roman"/>
          <w:sz w:val="12"/>
          <w:szCs w:val="12"/>
          <w:color w:val="auto"/>
        </w:rPr>
        <w:t>This share repurchase program will terminate on the earlier of February 4, 2027, or when the maximum dollar amount under the authorization has been expended. Pursuant to this authorization, repurchases may be made from time to time in the open market, through privately negotiated transactions, or otherwise, including under Rule 10b5-1 plans. In addition, any repurchases under this share repurchase program will be subject to prevailing market conditions, liquidity and cash flow considerations, applicable securities laws requirements (including under Rule 10b-18 and Rule 10b5-1 of the Securities Exchange Act of 1934, as applicable), compliance with contractual restrictions under the Company’s credit facility, and other factors. This share repurchase program does not require the Company to acquire any particular amount of shares of Class A common stock, and may be extended, modified, suspended or discontinued at any time at the Company’s discretion.</w:t>
      </w:r>
    </w:p>
    <w:p>
      <w:pPr>
        <w:spacing w:after="0" w:line="121" w:lineRule="exact"/>
        <w:rPr>
          <w:sz w:val="20"/>
          <w:szCs w:val="20"/>
          <w:color w:val="auto"/>
        </w:rPr>
      </w:pPr>
    </w:p>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0" w:lineRule="exact"/>
        <w:rPr>
          <w:sz w:val="20"/>
          <w:szCs w:val="20"/>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200" w:type="dxa"/>
            <w:vAlign w:val="bottom"/>
            <w:gridSpan w:val="3"/>
          </w:tcPr>
          <w:p>
            <w:pPr>
              <w:ind w:left="620"/>
              <w:spacing w:after="0"/>
              <w:rPr>
                <w:sz w:val="20"/>
                <w:szCs w:val="20"/>
                <w:color w:val="auto"/>
              </w:rPr>
            </w:pPr>
            <w:r>
              <w:rPr>
                <w:rFonts w:ascii="Times New Roman" w:cs="Times New Roman" w:eastAsia="Times New Roman" w:hAnsi="Times New Roman"/>
                <w:sz w:val="12"/>
                <w:szCs w:val="12"/>
                <w:color w:val="auto"/>
              </w:rPr>
              <w:t>Exhibit No.</w:t>
            </w:r>
          </w:p>
        </w:tc>
        <w:tc>
          <w:tcPr>
            <w:tcW w:w="1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18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Description</w:t>
            </w:r>
          </w:p>
        </w:tc>
      </w:tr>
      <w:tr>
        <w:trPr>
          <w:trHeight w:val="128"/>
        </w:trPr>
        <w:tc>
          <w:tcPr>
            <w:tcW w:w="800" w:type="dxa"/>
            <w:vAlign w:val="bottom"/>
          </w:tcPr>
          <w:p>
            <w:pPr>
              <w:spacing w:after="0"/>
              <w:rPr>
                <w:sz w:val="11"/>
                <w:szCs w:val="11"/>
                <w:color w:val="auto"/>
              </w:rPr>
            </w:pPr>
          </w:p>
        </w:tc>
        <w:tc>
          <w:tcPr>
            <w:tcW w:w="2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1180" w:type="dxa"/>
            <w:vAlign w:val="bottom"/>
          </w:tcPr>
          <w:p>
            <w:pPr>
              <w:spacing w:after="0"/>
              <w:rPr>
                <w:sz w:val="11"/>
                <w:szCs w:val="11"/>
                <w:color w:val="auto"/>
              </w:rPr>
            </w:pPr>
          </w:p>
        </w:tc>
        <w:tc>
          <w:tcPr>
            <w:tcW w:w="910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0000FF"/>
              </w:rPr>
              <w:t>Press release issued by i3 Verticals, Inc. on February 5, 2026</w:t>
            </w:r>
          </w:p>
        </w:tc>
      </w:tr>
      <w:tr>
        <w:trPr>
          <w:trHeight w:val="133"/>
        </w:trPr>
        <w:tc>
          <w:tcPr>
            <w:tcW w:w="800" w:type="dxa"/>
            <w:vAlign w:val="bottom"/>
          </w:tcPr>
          <w:p>
            <w:pPr>
              <w:spacing w:after="0"/>
              <w:rPr>
                <w:sz w:val="11"/>
                <w:szCs w:val="11"/>
                <w:color w:val="auto"/>
              </w:rPr>
            </w:pPr>
          </w:p>
        </w:tc>
        <w:tc>
          <w:tcPr>
            <w:tcW w:w="220" w:type="dxa"/>
            <w:vAlign w:val="bottom"/>
            <w:tcBorders>
              <w:top w:val="single" w:sz="8" w:color="0000FF"/>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1180" w:type="dxa"/>
            <w:vAlign w:val="bottom"/>
          </w:tcPr>
          <w:p>
            <w:pPr>
              <w:spacing w:after="0"/>
              <w:rPr>
                <w:sz w:val="11"/>
                <w:szCs w:val="11"/>
                <w:color w:val="auto"/>
              </w:rPr>
            </w:pPr>
          </w:p>
        </w:tc>
        <w:tc>
          <w:tcPr>
            <w:tcW w:w="130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Supplemental Presentation</w:t>
            </w:r>
          </w:p>
        </w:tc>
        <w:tc>
          <w:tcPr>
            <w:tcW w:w="1620" w:type="dxa"/>
            <w:vAlign w:val="bottom"/>
            <w:tcBorders>
              <w:top w:val="single" w:sz="8" w:color="0000FF"/>
            </w:tcBorders>
          </w:tcPr>
          <w:p>
            <w:pPr>
              <w:spacing w:after="0"/>
              <w:rPr>
                <w:sz w:val="11"/>
                <w:szCs w:val="11"/>
                <w:color w:val="auto"/>
              </w:rPr>
            </w:pPr>
          </w:p>
        </w:tc>
        <w:tc>
          <w:tcPr>
            <w:tcW w:w="6180" w:type="dxa"/>
            <w:vAlign w:val="bottom"/>
          </w:tcPr>
          <w:p>
            <w:pPr>
              <w:spacing w:after="0"/>
              <w:rPr>
                <w:sz w:val="11"/>
                <w:szCs w:val="11"/>
                <w:color w:val="auto"/>
              </w:rPr>
            </w:pPr>
          </w:p>
        </w:tc>
      </w:tr>
      <w:tr>
        <w:trPr>
          <w:trHeight w:val="160"/>
        </w:trPr>
        <w:tc>
          <w:tcPr>
            <w:tcW w:w="10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104</w:t>
            </w:r>
          </w:p>
        </w:tc>
        <w:tc>
          <w:tcPr>
            <w:tcW w:w="1180" w:type="dxa"/>
            <w:vAlign w:val="bottom"/>
          </w:tcPr>
          <w:p>
            <w:pPr>
              <w:spacing w:after="0"/>
              <w:rPr>
                <w:sz w:val="13"/>
                <w:szCs w:val="13"/>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Date File (embedded within the Inline XBRL document).</w:t>
            </w:r>
          </w:p>
        </w:tc>
      </w:tr>
      <w:tr>
        <w:trPr>
          <w:trHeight w:val="711"/>
        </w:trPr>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561"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5, 2026</w:t>
      </w:r>
    </w:p>
    <w:p>
      <w:pPr>
        <w:spacing w:after="0" w:line="34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2"/>
          <w:szCs w:val="12"/>
          <w:b w:val="1"/>
          <w:bCs w:val="1"/>
          <w:color w:val="auto"/>
        </w:rPr>
        <w:t>i3 VERTICALS, INC.</w:t>
      </w:r>
    </w:p>
    <w:p>
      <w:pPr>
        <w:spacing w:after="0" w:line="163" w:lineRule="exact"/>
        <w:rPr>
          <w:sz w:val="20"/>
          <w:szCs w:val="20"/>
          <w:color w:val="auto"/>
        </w:rPr>
      </w:pPr>
    </w:p>
    <w:tbl>
      <w:tblPr>
        <w:tblLayout w:type="fixed"/>
        <w:tblInd w:w="6400" w:type="dxa"/>
        <w:tblCellMar>
          <w:top w:w="0" w:type="dxa"/>
          <w:left w:w="0" w:type="dxa"/>
          <w:bottom w:w="0" w:type="dxa"/>
          <w:right w:w="0" w:type="dxa"/>
        </w:tblCellMar>
      </w:tblPr>
      <w:tr>
        <w:trPr>
          <w:trHeight w:val="155"/>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Geoff Smith</w:t>
            </w:r>
          </w:p>
        </w:tc>
      </w:tr>
      <w:tr>
        <w:trPr>
          <w:trHeight w:val="140"/>
        </w:trPr>
        <w:tc>
          <w:tcPr>
            <w:tcW w:w="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Geoff Smith</w:t>
            </w:r>
          </w:p>
        </w:tc>
      </w:tr>
      <w:tr>
        <w:trPr>
          <w:trHeight w:val="153"/>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900" w:type="dxa"/>
            <w:vAlign w:val="bottom"/>
          </w:tcPr>
          <w:p>
            <w:pPr>
              <w:spacing w:after="0"/>
              <w:rPr>
                <w:sz w:val="13"/>
                <w:szCs w:val="13"/>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Financial Officer and Principal Accounting Officer)</w:t>
            </w:r>
          </w:p>
        </w:tc>
      </w:tr>
    </w:tbl>
    <w:p>
      <w:pPr>
        <w:sectPr>
          <w:pgSz w:w="11900" w:h="16838" w:orient="portrait"/>
          <w:cols w:equalWidth="0" w:num="1">
            <w:col w:w="11300"/>
          </w:cols>
          <w:pgMar w:left="300" w:top="1151"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3145790</wp:posOffset>
            </wp:positionH>
            <wp:positionV relativeFrom="page">
              <wp:posOffset>500380</wp:posOffset>
            </wp:positionV>
            <wp:extent cx="1257300" cy="571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57300" cy="571500"/>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i3 VERTICALS REPORTS FIRST QUARTER 2026 FINANCIAL RESULTS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Completes Acquisition of Motor Vehicle Insurance Verification Software Company</w:t>
      </w:r>
    </w:p>
    <w:p>
      <w:pPr>
        <w:spacing w:after="0" w:line="50" w:lineRule="exact"/>
        <w:rPr>
          <w:sz w:val="20"/>
          <w:szCs w:val="20"/>
          <w:color w:val="auto"/>
        </w:rPr>
      </w:pPr>
    </w:p>
    <w:p>
      <w:pPr>
        <w:ind w:right="1100"/>
        <w:spacing w:after="0" w:line="335" w:lineRule="auto"/>
        <w:rPr>
          <w:sz w:val="20"/>
          <w:szCs w:val="20"/>
          <w:color w:val="auto"/>
        </w:rPr>
      </w:pPr>
      <w:r>
        <w:rPr>
          <w:rFonts w:ascii="Arial" w:cs="Arial" w:eastAsia="Arial" w:hAnsi="Arial"/>
          <w:sz w:val="12"/>
          <w:szCs w:val="12"/>
          <w:b w:val="1"/>
          <w:bCs w:val="1"/>
          <w:color w:val="auto"/>
        </w:rPr>
        <w:t xml:space="preserve">NASHVILLE, Tenn. </w:t>
      </w:r>
      <w:r>
        <w:rPr>
          <w:rFonts w:ascii="Arial" w:cs="Arial" w:eastAsia="Arial" w:hAnsi="Arial"/>
          <w:sz w:val="12"/>
          <w:szCs w:val="12"/>
          <w:color w:val="auto"/>
        </w:rPr>
        <w:t>(February 5, 2026) – i3 Verticals, Inc. (Nasdaq: IIIV) (“i3 Verticals” or the “Company”) today reported its financial results for the fiscal first quarter ended December 31, 2025.</w:t>
      </w:r>
      <w:r>
        <w:rPr>
          <w:rFonts w:ascii="Arial" w:cs="Arial" w:eastAsia="Arial" w:hAnsi="Arial"/>
          <w:sz w:val="12"/>
          <w:szCs w:val="12"/>
          <w:b w:val="1"/>
          <w:bCs w:val="1"/>
          <w:color w:val="auto"/>
        </w:rPr>
        <w:t xml:space="preserve"> Highlights from continuing operations</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for the three months ended December 31, 2025 vs. 2024</w:t>
      </w:r>
    </w:p>
    <w:p>
      <w:pPr>
        <w:spacing w:after="0" w:line="1" w:lineRule="exact"/>
        <w:rPr>
          <w:sz w:val="20"/>
          <w:szCs w:val="20"/>
          <w:color w:val="auto"/>
        </w:rPr>
      </w:pPr>
    </w:p>
    <w:p>
      <w:pPr>
        <w:ind w:left="240" w:hanging="205"/>
        <w:spacing w:after="0"/>
        <w:tabs>
          <w:tab w:leader="none" w:pos="2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 from continuing operations was $52.7 million, an increase of 0.9% over the prior year's first quarter.</w:t>
      </w:r>
    </w:p>
    <w:p>
      <w:pPr>
        <w:spacing w:after="0" w:line="15" w:lineRule="exact"/>
        <w:rPr>
          <w:rFonts w:ascii="Arial" w:cs="Arial" w:eastAsia="Arial" w:hAnsi="Arial"/>
          <w:sz w:val="12"/>
          <w:szCs w:val="12"/>
          <w:color w:val="auto"/>
        </w:rPr>
      </w:pPr>
    </w:p>
    <w:p>
      <w:pPr>
        <w:ind w:left="240" w:hanging="205"/>
        <w:spacing w:after="0" w:line="200"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Net income from continuing operations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$1.1 million, compared to net income from continuing operations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$2.8 million in the prior year's first quarter.</w:t>
      </w:r>
    </w:p>
    <w:p>
      <w:pPr>
        <w:ind w:left="260" w:hanging="225"/>
        <w:spacing w:after="0" w:line="222" w:lineRule="auto"/>
        <w:tabs>
          <w:tab w:leader="none" w:pos="257" w:val="left"/>
        </w:tabs>
        <w:numPr>
          <w:ilvl w:val="0"/>
          <w:numId w:val="3"/>
        </w:numPr>
        <w:rPr>
          <w:rFonts w:ascii="Arial" w:cs="Arial" w:eastAsia="Arial" w:hAnsi="Arial"/>
          <w:sz w:val="12"/>
          <w:szCs w:val="12"/>
          <w:color w:val="auto"/>
        </w:rPr>
      </w:pPr>
      <w:r>
        <w:rPr>
          <w:rFonts w:ascii="Arial" w:cs="Arial" w:eastAsia="Arial" w:hAnsi="Arial"/>
          <w:sz w:val="12"/>
          <w:szCs w:val="12"/>
          <w:color w:val="auto"/>
        </w:rPr>
        <w:t>Net income from continuing operations attributable to i3 Verticals, Inc.</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$0.6 million, compared to net income from continuing operations attributable to i3 Verticals, Inc.</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$1.9 million in the prior year's first quarter.</w:t>
      </w:r>
    </w:p>
    <w:p>
      <w:pPr>
        <w:ind w:left="240" w:hanging="205"/>
        <w:spacing w:after="0" w:line="200"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 from continuing operations</w:t>
      </w:r>
      <w:r>
        <w:rPr>
          <w:rFonts w:ascii="Arial" w:cs="Arial" w:eastAsia="Arial" w:hAnsi="Arial"/>
          <w:sz w:val="15"/>
          <w:szCs w:val="15"/>
          <w:color w:val="auto"/>
          <w:vertAlign w:val="superscript"/>
        </w:rPr>
        <w:t>1,2</w:t>
      </w:r>
      <w:r>
        <w:rPr>
          <w:rFonts w:ascii="Arial" w:cs="Arial" w:eastAsia="Arial" w:hAnsi="Arial"/>
          <w:sz w:val="12"/>
          <w:szCs w:val="12"/>
          <w:color w:val="auto"/>
        </w:rPr>
        <w:t xml:space="preserve"> was $13.6 million as compared to $14.6 million in the prior year's first quarter.</w:t>
      </w:r>
    </w:p>
    <w:p>
      <w:pPr>
        <w:ind w:left="240" w:hanging="205"/>
        <w:spacing w:after="0" w:line="200"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 from continuing operations</w:t>
      </w:r>
      <w:r>
        <w:rPr>
          <w:rFonts w:ascii="Arial" w:cs="Arial" w:eastAsia="Arial" w:hAnsi="Arial"/>
          <w:sz w:val="15"/>
          <w:szCs w:val="15"/>
          <w:color w:val="auto"/>
          <w:vertAlign w:val="superscript"/>
        </w:rPr>
        <w:t>1,2</w:t>
      </w:r>
      <w:r>
        <w:rPr>
          <w:rFonts w:ascii="Arial" w:cs="Arial" w:eastAsia="Arial" w:hAnsi="Arial"/>
          <w:sz w:val="12"/>
          <w:szCs w:val="12"/>
          <w:color w:val="auto"/>
        </w:rPr>
        <w:t xml:space="preserve"> as a percentage of revenue was 25.8%, compared to 27.9% in the prior year's first quarter.</w:t>
      </w:r>
    </w:p>
    <w:p>
      <w:pPr>
        <w:ind w:left="260" w:hanging="225"/>
        <w:spacing w:after="0" w:line="200" w:lineRule="auto"/>
        <w:tabs>
          <w:tab w:leader="none" w:pos="257" w:val="left"/>
        </w:tabs>
        <w:numPr>
          <w:ilvl w:val="0"/>
          <w:numId w:val="3"/>
        </w:numPr>
        <w:rPr>
          <w:rFonts w:ascii="Arial" w:cs="Arial" w:eastAsia="Arial" w:hAnsi="Arial"/>
          <w:sz w:val="12"/>
          <w:szCs w:val="12"/>
          <w:color w:val="auto"/>
        </w:rPr>
      </w:pPr>
      <w:r>
        <w:rPr>
          <w:rFonts w:ascii="Arial" w:cs="Arial" w:eastAsia="Arial" w:hAnsi="Arial"/>
          <w:sz w:val="12"/>
          <w:szCs w:val="12"/>
          <w:color w:val="auto"/>
        </w:rPr>
        <w:t>Diluted net income per share attributable to Class A common stock from continuing operations</w:t>
      </w:r>
      <w:r>
        <w:rPr>
          <w:rFonts w:ascii="Arial" w:cs="Arial" w:eastAsia="Arial" w:hAnsi="Arial"/>
          <w:sz w:val="15"/>
          <w:szCs w:val="15"/>
          <w:color w:val="auto"/>
          <w:vertAlign w:val="superscript"/>
        </w:rPr>
        <w:t>1,3</w:t>
      </w:r>
      <w:r>
        <w:rPr>
          <w:rFonts w:ascii="Arial" w:cs="Arial" w:eastAsia="Arial" w:hAnsi="Arial"/>
          <w:sz w:val="12"/>
          <w:szCs w:val="12"/>
          <w:color w:val="auto"/>
        </w:rPr>
        <w:t xml:space="preserve"> was $0.02, compared to diluted net income per share attributable to Class A common stock from continuing operations</w:t>
      </w:r>
      <w:r>
        <w:rPr>
          <w:rFonts w:ascii="Arial" w:cs="Arial" w:eastAsia="Arial" w:hAnsi="Arial"/>
          <w:sz w:val="15"/>
          <w:szCs w:val="15"/>
          <w:color w:val="auto"/>
          <w:vertAlign w:val="superscript"/>
        </w:rPr>
        <w:t>1,3</w:t>
      </w:r>
      <w:r>
        <w:rPr>
          <w:rFonts w:ascii="Arial" w:cs="Arial" w:eastAsia="Arial" w:hAnsi="Arial"/>
          <w:sz w:val="12"/>
          <w:szCs w:val="12"/>
          <w:color w:val="auto"/>
        </w:rPr>
        <w:t xml:space="preserve"> of $0.08 in the prior year's first quarter.</w:t>
      </w:r>
    </w:p>
    <w:p>
      <w:pPr>
        <w:ind w:left="260" w:right="20" w:hanging="225"/>
        <w:spacing w:after="0" w:line="222" w:lineRule="auto"/>
        <w:tabs>
          <w:tab w:leader="none" w:pos="257"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diluted earnings per share from continuing operations</w:t>
      </w:r>
      <w:r>
        <w:rPr>
          <w:rFonts w:ascii="Arial" w:cs="Arial" w:eastAsia="Arial" w:hAnsi="Arial"/>
          <w:sz w:val="15"/>
          <w:szCs w:val="15"/>
          <w:color w:val="auto"/>
          <w:vertAlign w:val="superscript"/>
        </w:rPr>
        <w:t>1,2,3</w:t>
      </w:r>
      <w:r>
        <w:rPr>
          <w:rFonts w:ascii="Arial" w:cs="Arial" w:eastAsia="Arial" w:hAnsi="Arial"/>
          <w:sz w:val="12"/>
          <w:szCs w:val="12"/>
          <w:color w:val="auto"/>
        </w:rPr>
        <w:t>, which gives effect to the Company's 25% estimated long-term effective tax rate</w:t>
      </w:r>
      <w:r>
        <w:rPr>
          <w:rFonts w:ascii="Arial" w:cs="Arial" w:eastAsia="Arial" w:hAnsi="Arial"/>
          <w:sz w:val="15"/>
          <w:szCs w:val="15"/>
          <w:color w:val="auto"/>
          <w:vertAlign w:val="superscript"/>
        </w:rPr>
        <w:t>4</w:t>
      </w:r>
      <w:r>
        <w:rPr>
          <w:rFonts w:ascii="Arial" w:cs="Arial" w:eastAsia="Arial" w:hAnsi="Arial"/>
          <w:sz w:val="12"/>
          <w:szCs w:val="12"/>
          <w:color w:val="auto"/>
        </w:rPr>
        <w:t>, was $0.26 compared to $0.27 for the prior year's first quarter.</w:t>
      </w:r>
    </w:p>
    <w:p>
      <w:pPr>
        <w:ind w:left="260" w:right="20" w:hanging="225"/>
        <w:spacing w:after="0" w:line="222" w:lineRule="auto"/>
        <w:tabs>
          <w:tab w:leader="none" w:pos="257" w:val="left"/>
        </w:tabs>
        <w:numPr>
          <w:ilvl w:val="0"/>
          <w:numId w:val="3"/>
        </w:numPr>
        <w:rPr>
          <w:rFonts w:ascii="Arial" w:cs="Arial" w:eastAsia="Arial" w:hAnsi="Arial"/>
          <w:sz w:val="12"/>
          <w:szCs w:val="12"/>
          <w:color w:val="auto"/>
        </w:rPr>
      </w:pPr>
      <w:r>
        <w:rPr>
          <w:rFonts w:ascii="Arial" w:cs="Arial" w:eastAsia="Arial" w:hAnsi="Arial"/>
          <w:sz w:val="12"/>
          <w:szCs w:val="12"/>
          <w:color w:val="auto"/>
        </w:rPr>
        <w:t>Annualized Recurring Revenue ("ARR") from continuing operations</w:t>
      </w:r>
      <w:r>
        <w:rPr>
          <w:rFonts w:ascii="Arial" w:cs="Arial" w:eastAsia="Arial" w:hAnsi="Arial"/>
          <w:sz w:val="15"/>
          <w:szCs w:val="15"/>
          <w:color w:val="auto"/>
          <w:vertAlign w:val="superscript"/>
        </w:rPr>
        <w:t>1,5</w:t>
      </w:r>
      <w:r>
        <w:rPr>
          <w:rFonts w:ascii="Arial" w:cs="Arial" w:eastAsia="Arial" w:hAnsi="Arial"/>
          <w:sz w:val="12"/>
          <w:szCs w:val="12"/>
          <w:color w:val="auto"/>
        </w:rPr>
        <w:t xml:space="preserve"> for the three months ended December 31, 2025 and 2024 was $169.6 million and $156.4 million, respectively, representing a period-to-period growth rate of 8.4%.</w:t>
      </w:r>
    </w:p>
    <w:p>
      <w:pPr>
        <w:ind w:left="260" w:hanging="225"/>
        <w:spacing w:after="0" w:line="265" w:lineRule="auto"/>
        <w:tabs>
          <w:tab w:leader="none" w:pos="257" w:val="left"/>
        </w:tabs>
        <w:numPr>
          <w:ilvl w:val="0"/>
          <w:numId w:val="3"/>
        </w:numPr>
        <w:rPr>
          <w:rFonts w:ascii="Arial" w:cs="Arial" w:eastAsia="Arial" w:hAnsi="Arial"/>
          <w:sz w:val="12"/>
          <w:szCs w:val="12"/>
          <w:color w:val="auto"/>
        </w:rPr>
      </w:pPr>
      <w:r>
        <w:rPr>
          <w:rFonts w:ascii="Arial" w:cs="Arial" w:eastAsia="Arial" w:hAnsi="Arial"/>
          <w:sz w:val="12"/>
          <w:szCs w:val="12"/>
          <w:color w:val="auto"/>
        </w:rPr>
        <w:t>Effective January 1, 2026, the Company acquired a driver and motor vehicle insurance verification software company for $60.0 million in cash consideration, and an additional amount of cash contingent consideration in an amount not to exceed $20.0 million based on the performance of the acquired business for a period following the closing.</w:t>
      </w:r>
    </w:p>
    <w:p>
      <w:pPr>
        <w:spacing w:after="0" w:line="4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Greg Daily, Chairman and CEO of i3 Verticals, commented, "We are pleased to report our first quarter of fiscal 2026 results, which were in line with our expectations and market guidance. While total revenue grew modestly at 1% year over year, recurring revenue increased by more than 8%, reflecting our long-term growth strategy. SaaS growth in the first quarter rose to 24%.</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 am very excited to announce our latest acquisition, effective January 1, 2026, which is a perfect fit within our transportation market. We self-sourced this transaction, and our deep relationships within the market made it possible. We believe the product has a unique competitive advantage, and the company has never lost a customer. The team brings an incredible track record, and it has been a pleasure welcoming them to i3. We are excited to do great things together!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"While we’re pleased with our start to the fiscal year, we look forward to sharing more as the year progresses."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footnotes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300"/>
          </w:cols>
          <w:pgMar w:left="300" w:top="1440"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IIIV Reports First Quarter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Page 2</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5, 2026</w:t>
      </w:r>
    </w:p>
    <w:p>
      <w:pPr>
        <w:spacing w:after="0" w:line="218" w:lineRule="exact"/>
        <w:rPr>
          <w:sz w:val="20"/>
          <w:szCs w:val="20"/>
          <w:color w:val="auto"/>
        </w:rPr>
      </w:pPr>
    </w:p>
    <w:p>
      <w:pPr>
        <w:jc w:val="both"/>
        <w:ind w:left="420" w:hanging="212"/>
        <w:spacing w:after="0" w:line="243" w:lineRule="auto"/>
        <w:tabs>
          <w:tab w:leader="none" w:pos="419" w:val="left"/>
        </w:tabs>
        <w:numPr>
          <w:ilvl w:val="0"/>
          <w:numId w:val="4"/>
        </w:numPr>
        <w:rPr>
          <w:rFonts w:ascii="Arial" w:cs="Arial" w:eastAsia="Arial" w:hAnsi="Arial"/>
          <w:sz w:val="10"/>
          <w:szCs w:val="10"/>
          <w:color w:val="auto"/>
        </w:rPr>
      </w:pPr>
      <w:r>
        <w:rPr>
          <w:rFonts w:ascii="Arial" w:cs="Arial" w:eastAsia="Arial" w:hAnsi="Arial"/>
          <w:sz w:val="10"/>
          <w:szCs w:val="10"/>
          <w:color w:val="auto"/>
        </w:rPr>
        <w:t>As a result of the sale of the Company’s merchant services business (the "Merchant Services Business"), which was completed on September 20, 2024, and the sale of the Company's Healthcare revenue cycle management business ("Healthcare RCM Business"), which was completed on May 5, 2025, the historical results of the Merchant Services Business and the Healthcare RCM Business have been reflected in discontinued operations in the consolidated statement of operations included in this earnings release, and continuing operations reflect the Company's remaining operations after giving effect to such classifications. Prior period results have been recast to reflect this presentation.</w:t>
      </w:r>
    </w:p>
    <w:p>
      <w:pPr>
        <w:ind w:left="420" w:hanging="212"/>
        <w:spacing w:after="0"/>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color w:val="auto"/>
        </w:rPr>
        <w:t>Represents a non-GAAP financial measure. For additional information regarding non-GAAP financial measures (including reconciliation information), see the attached schedules to this release.</w:t>
      </w:r>
    </w:p>
    <w:p>
      <w:pPr>
        <w:spacing w:after="0" w:line="1" w:lineRule="exact"/>
        <w:rPr>
          <w:rFonts w:ascii="Arial" w:cs="Arial" w:eastAsia="Arial" w:hAnsi="Arial"/>
          <w:sz w:val="10"/>
          <w:szCs w:val="10"/>
          <w:color w:val="auto"/>
        </w:rPr>
      </w:pPr>
    </w:p>
    <w:p>
      <w:pPr>
        <w:ind w:left="420" w:hanging="212"/>
        <w:spacing w:after="0" w:line="244" w:lineRule="auto"/>
        <w:tabs>
          <w:tab w:leader="none" w:pos="419" w:val="left"/>
        </w:tabs>
        <w:numPr>
          <w:ilvl w:val="0"/>
          <w:numId w:val="4"/>
        </w:numPr>
        <w:rPr>
          <w:rFonts w:ascii="Arial" w:cs="Arial" w:eastAsia="Arial" w:hAnsi="Arial"/>
          <w:sz w:val="10"/>
          <w:szCs w:val="10"/>
          <w:color w:val="auto"/>
        </w:rPr>
      </w:pPr>
      <w:r>
        <w:rPr>
          <w:rFonts w:ascii="Arial" w:cs="Arial" w:eastAsia="Arial" w:hAnsi="Arial"/>
          <w:sz w:val="10"/>
          <w:szCs w:val="10"/>
          <w:color w:val="auto"/>
        </w:rPr>
        <w:t>Diluted net income (loss) per share attributable to Class A common stock from continuing operations and adjusted diluted earnings per share from continuing operations both exclude discontinued operations of the Merchant Services Business and the Healthcare RCM Business but include the consolidated cash interest expense.</w:t>
      </w:r>
    </w:p>
    <w:p>
      <w:pPr>
        <w:ind w:left="420" w:hanging="212"/>
        <w:spacing w:after="0" w:line="234" w:lineRule="auto"/>
        <w:tabs>
          <w:tab w:leader="none" w:pos="419" w:val="left"/>
        </w:tabs>
        <w:numPr>
          <w:ilvl w:val="0"/>
          <w:numId w:val="4"/>
        </w:numPr>
        <w:rPr>
          <w:rFonts w:ascii="Arial" w:cs="Arial" w:eastAsia="Arial" w:hAnsi="Arial"/>
          <w:sz w:val="10"/>
          <w:szCs w:val="10"/>
          <w:color w:val="auto"/>
        </w:rPr>
      </w:pPr>
      <w:r>
        <w:rPr>
          <w:rFonts w:ascii="Arial" w:cs="Arial" w:eastAsia="Arial" w:hAnsi="Arial"/>
          <w:sz w:val="10"/>
          <w:szCs w:val="10"/>
          <w:color w:val="auto"/>
        </w:rPr>
        <w:t>Corporate income tax expense is based on non-GAAP adjusted income before taxes from continuing operations and is calculated using a tax rate of 25.0% for both the three months ended December 31, 2025 and 2024, based on the estimated long-term effective tax rate, considering blended federal and state tax rates.</w:t>
      </w:r>
    </w:p>
    <w:p>
      <w:pPr>
        <w:jc w:val="both"/>
        <w:ind w:left="420" w:hanging="212"/>
        <w:spacing w:after="0" w:line="242" w:lineRule="auto"/>
        <w:tabs>
          <w:tab w:leader="none" w:pos="419" w:val="left"/>
        </w:tabs>
        <w:numPr>
          <w:ilvl w:val="0"/>
          <w:numId w:val="4"/>
        </w:numPr>
        <w:rPr>
          <w:rFonts w:ascii="Arial" w:cs="Arial" w:eastAsia="Arial" w:hAnsi="Arial"/>
          <w:sz w:val="10"/>
          <w:szCs w:val="10"/>
          <w:color w:val="auto"/>
        </w:rPr>
      </w:pPr>
      <w:r>
        <w:rPr>
          <w:rFonts w:ascii="Arial" w:cs="Arial" w:eastAsia="Arial" w:hAnsi="Arial"/>
          <w:sz w:val="10"/>
          <w:szCs w:val="10"/>
          <w:color w:val="auto"/>
        </w:rPr>
        <w:t>Annualized Recurring Revenue (ARR) is the annualized revenue derived from recurring sources where the Company has an ongoing contract with its customers. The Company believes revenue from recurring sources is a strategic priority. ARR is comprised of software-as-a-service (“SaaS”) arrangements, transaction-based software-revenue, software maintenance, recurring software-based services, payments revenue and other recurring revenue sources within the quarter. The sum of these revenue categories is multiplied by four to calculate ARR. ARR excludes revenue that is not recurring or is one-time in nature. The Company's management believes this metric provides useful information to investors by providing visibility regarding the ongoing revenue potential of the Company's business model and providing a clearer picture of its sustainable revenue base. Further, the Company's management uses ARR as a metric because it helps to assess the health and trajectory of the Company's business. The Company's management believes that focusing on ARR can orient the Company's sales and operations management towards long-term, reliable revenue growth. This focus on recurring revenue is particularly relevant for businesses operating under a subscription model, where customer retention and contract renewals play a significant role in long-term financial performance. ARR does not have a standardized definition and is therefore unlikely to be comparable to similarly titled measures presented by other companies. It should be reviewed independently of revenue, and it is not a forecast. Additionally, ARR does not take into account seasonality. The active contracts at the end of a reporting period used in calculating ARR may or may not be extended or renewed by the Company's customers.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300"/>
          </w:cols>
          <w:pgMar w:left="300" w:top="128"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color w:val="auto"/>
        </w:rPr>
        <w:t>IIIV Reports First Quarter Fiscal Year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3</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February 5, 2026</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2026 Outlook</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practice is to provide annual guidance, excluding the impact of future acquisitions and transaction-related costs.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is providing the following revised outlook for the fiscal year ending September 30, 2026:</w:t>
      </w:r>
    </w:p>
    <w:p>
      <w:pPr>
        <w:spacing w:after="0" w:line="25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(in thousands, except share and per share amounts)</w:t>
            </w:r>
          </w:p>
        </w:tc>
        <w:tc>
          <w:tcPr>
            <w:tcW w:w="4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ind w:left="162"/>
              <w:spacing w:after="0"/>
              <w:rPr>
                <w:sz w:val="20"/>
                <w:szCs w:val="20"/>
                <w:color w:val="auto"/>
              </w:rPr>
            </w:pPr>
            <w:r>
              <w:rPr>
                <w:rFonts w:ascii="Arial" w:cs="Arial" w:eastAsia="Arial" w:hAnsi="Arial"/>
                <w:sz w:val="11"/>
                <w:szCs w:val="11"/>
                <w:color w:val="auto"/>
                <w:w w:val="97"/>
              </w:rPr>
              <w:t>Previous Outlook Range</w:t>
            </w: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ind w:left="182"/>
              <w:spacing w:after="0"/>
              <w:rPr>
                <w:sz w:val="20"/>
                <w:szCs w:val="20"/>
                <w:color w:val="auto"/>
              </w:rPr>
            </w:pPr>
            <w:r>
              <w:rPr>
                <w:rFonts w:ascii="Arial" w:cs="Arial" w:eastAsia="Arial" w:hAnsi="Arial"/>
                <w:sz w:val="11"/>
                <w:szCs w:val="11"/>
                <w:color w:val="auto"/>
                <w:w w:val="98"/>
              </w:rPr>
              <w:t>Revised Outlook Range</w:t>
            </w:r>
          </w:p>
        </w:tc>
        <w:tc>
          <w:tcPr>
            <w:tcW w:w="680" w:type="dxa"/>
            <w:vAlign w:val="bottom"/>
            <w:tcBorders>
              <w:top w:val="single" w:sz="8" w:color="auto"/>
            </w:tcBorders>
          </w:tcPr>
          <w:p>
            <w:pPr>
              <w:spacing w:after="0"/>
              <w:rPr>
                <w:sz w:val="13"/>
                <w:szCs w:val="13"/>
                <w:color w:val="auto"/>
              </w:rPr>
            </w:pPr>
          </w:p>
        </w:tc>
      </w:tr>
      <w:tr>
        <w:trPr>
          <w:trHeight w:val="143"/>
        </w:trPr>
        <w:tc>
          <w:tcPr>
            <w:tcW w:w="5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5"/>
          </w:tcPr>
          <w:p>
            <w:pPr>
              <w:jc w:val="right"/>
              <w:ind w:right="362"/>
              <w:spacing w:after="0"/>
              <w:rPr>
                <w:sz w:val="20"/>
                <w:szCs w:val="20"/>
                <w:color w:val="auto"/>
              </w:rPr>
            </w:pPr>
            <w:r>
              <w:rPr>
                <w:rFonts w:ascii="Arial" w:cs="Arial" w:eastAsia="Arial" w:hAnsi="Arial"/>
                <w:sz w:val="11"/>
                <w:szCs w:val="11"/>
                <w:color w:val="auto"/>
              </w:rPr>
              <w:t>Fiscal year ending September 30, 2026</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217,000</w:t>
            </w: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232,000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223,000</w:t>
            </w:r>
          </w:p>
        </w:tc>
        <w:tc>
          <w:tcPr>
            <w:tcW w:w="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234,000</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Adjusted EBITDA (non-GAAP)</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58,500</w:t>
            </w:r>
          </w:p>
        </w:tc>
        <w:tc>
          <w:tcPr>
            <w:tcW w:w="1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tcPr>
          <w:p>
            <w:pPr>
              <w:jc w:val="right"/>
              <w:ind w:right="52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65,000</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61,000</w:t>
            </w:r>
          </w:p>
        </w:tc>
        <w:tc>
          <w:tcPr>
            <w:tcW w:w="1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66,500</w:t>
            </w:r>
          </w:p>
        </w:tc>
      </w:tr>
      <w:tr>
        <w:trPr>
          <w:trHeight w:val="153"/>
        </w:trPr>
        <w:tc>
          <w:tcPr>
            <w:tcW w:w="54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Adjusted diluted earnings per share</w:t>
            </w:r>
            <w:r>
              <w:rPr>
                <w:rFonts w:ascii="Arial" w:cs="Arial" w:eastAsia="Arial" w:hAnsi="Arial"/>
                <w:sz w:val="15"/>
                <w:szCs w:val="15"/>
                <w:color w:val="auto"/>
                <w:vertAlign w:val="superscript"/>
              </w:rPr>
              <w:t>(1)</w:t>
            </w:r>
            <w:r>
              <w:rPr>
                <w:rFonts w:ascii="Arial" w:cs="Arial" w:eastAsia="Arial" w:hAnsi="Arial"/>
                <w:sz w:val="12"/>
                <w:szCs w:val="12"/>
                <w:color w:val="auto"/>
              </w:rPr>
              <w:t>(non-GAAP)</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1.06</w:t>
            </w: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1.08</w:t>
            </w:r>
          </w:p>
        </w:tc>
        <w:tc>
          <w:tcPr>
            <w:tcW w:w="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r>
    </w:tbl>
    <w:p>
      <w:pPr>
        <w:spacing w:after="0" w:line="50"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w:t>
      </w: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Assumes an effective tax rate of 25.0% (non-GAAP), based on the estimated long-term effective tax rate, considering blended federal and state tax rates.</w:t>
      </w:r>
    </w:p>
    <w:p>
      <w:pPr>
        <w:spacing w:after="0" w:line="148" w:lineRule="exact"/>
        <w:rPr>
          <w:sz w:val="20"/>
          <w:szCs w:val="20"/>
          <w:color w:val="auto"/>
        </w:rPr>
      </w:pPr>
    </w:p>
    <w:p>
      <w:pPr>
        <w:jc w:val="both"/>
        <w:ind w:left="8"/>
        <w:spacing w:after="0" w:line="293" w:lineRule="auto"/>
        <w:rPr>
          <w:sz w:val="20"/>
          <w:szCs w:val="20"/>
          <w:color w:val="auto"/>
        </w:rPr>
      </w:pPr>
      <w:r>
        <w:rPr>
          <w:rFonts w:ascii="Arial" w:cs="Arial" w:eastAsia="Arial" w:hAnsi="Arial"/>
          <w:sz w:val="11"/>
          <w:szCs w:val="11"/>
          <w:color w:val="auto"/>
        </w:rPr>
        <w:t>With respect to the “2026 Outlook” above, reconciliations of adjusted EBITDA from continuing operations and adjusted diluted earnings per share from continuing operations guidance to the closest corresponding GAAP measure on a forward-looking basis are not available without unreasonable efforts. This inability results from the inherent difficulty in forecasting generally and quantifying certain projected amounts that are necessary for such reconciliations. In particular, sufficient information is not available to calculate certain adjustments required for such reconciliations, including changes in the fair value of contingent consideration, income tax expense of i3 Verticals, Inc. and equity-based compensation expense. The Company expects these adjustments may have a potentially significant impact on future GAAP financial results.</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Conference Call</w:t>
      </w:r>
    </w:p>
    <w:p>
      <w:pPr>
        <w:spacing w:after="0" w:line="78"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The Company will host a conference call on Friday, February 6, 2026, at 8:30 a.m. EDT, to discuss financial results and operations. To listen to the call live via telephone, participants should dial (844) 887-9399 approximately 10 minutes prior to the start of the call. A telephonic replay will be available from 11:30 a.m. EDT on February 6, 2026, through February 13, 2026, by dialing (855) 669-9658 and entering Confirmation Code 6769466.</w:t>
      </w:r>
    </w:p>
    <w:p>
      <w:pPr>
        <w:spacing w:after="0" w:line="42"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To listen to the call live via webcast, participants should visit the “Investors” section of the Company’s website, www.i3verticals.com, and go to the “Events” page approximately 10 minutes prior to the start of the call. The online replay will be available on this page of the Company’s website beginning shortly after the conclusion of the call and will remain available for 30 days.</w:t>
      </w:r>
    </w:p>
    <w:p>
      <w:pPr>
        <w:spacing w:after="0" w:line="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Non-GAAP Measures</w:t>
      </w:r>
    </w:p>
    <w:p>
      <w:pPr>
        <w:spacing w:after="0" w:line="78"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color w:val="auto"/>
        </w:rPr>
        <w:t>This press release contains information prepared in conformity with GAAP as well as non-GAAP information. It is management’s intent to provide non-GAAP financial information to enhance understanding of the Company's consolidated financial information as prepared in accordance with GAAP. This non-GAAP information should be considered by the reader in addition to, but not instead of, the financial statements prepared in accordance with GAAP. Each non-GAAP financial measure and the most directly comparable GAAP financial measure are presented for historical periods so as not to imply that more emphasis should be placed on the non-GAAP measure. The non-GAAP financial information presented may be determined or calculated differently by other companies.</w:t>
      </w:r>
    </w:p>
    <w:p>
      <w:pPr>
        <w:spacing w:after="0" w:line="45" w:lineRule="exact"/>
        <w:rPr>
          <w:sz w:val="20"/>
          <w:szCs w:val="20"/>
          <w:color w:val="auto"/>
        </w:rPr>
      </w:pPr>
    </w:p>
    <w:p>
      <w:pPr>
        <w:ind w:left="8" w:right="620"/>
        <w:spacing w:after="0" w:line="375" w:lineRule="auto"/>
        <w:rPr>
          <w:sz w:val="20"/>
          <w:szCs w:val="20"/>
          <w:color w:val="auto"/>
        </w:rPr>
      </w:pPr>
      <w:r>
        <w:rPr>
          <w:rFonts w:ascii="Arial" w:cs="Arial" w:eastAsia="Arial" w:hAnsi="Arial"/>
          <w:sz w:val="12"/>
          <w:szCs w:val="12"/>
          <w:color w:val="auto"/>
        </w:rPr>
        <w:t xml:space="preserve">Additional information about non-GAAP financial measures, and a reconciliation of those measures to the most directly comparable GAAP measures, is included in the financial schedules of this release. </w:t>
      </w:r>
      <w:r>
        <w:rPr>
          <w:rFonts w:ascii="Arial" w:cs="Arial" w:eastAsia="Arial" w:hAnsi="Arial"/>
          <w:sz w:val="12"/>
          <w:szCs w:val="12"/>
          <w:b w:val="1"/>
          <w:bCs w:val="1"/>
          <w:color w:val="auto"/>
        </w:rPr>
        <w:t>About i3 Verticals</w:t>
      </w:r>
    </w:p>
    <w:p>
      <w:pPr>
        <w:spacing w:after="0" w:line="1"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color w:val="auto"/>
        </w:rPr>
        <w:t>The Company provides mission-critical enterprise software solutions to public sector entities. These comprehensive cloud-native solutions address a broad range of government functions, including courts and public safety, public administration, utilities, transportation and schools. The Company’s mission is to enable state and local governments and related agencies to perform their functions and serve their constituents as effectively and efficiently as possible. With thousands of software installations across all 50 states and Canada, i3 Verticals is a leader in the public sector vertical. More information about the Company can be found at www.i3verticals.com.</w:t>
      </w:r>
    </w:p>
    <w:p>
      <w:pPr>
        <w:spacing w:after="0" w:line="200" w:lineRule="exact"/>
        <w:rPr>
          <w:sz w:val="20"/>
          <w:szCs w:val="20"/>
          <w:color w:val="auto"/>
        </w:rPr>
      </w:pPr>
    </w:p>
    <w:p>
      <w:pPr>
        <w:spacing w:after="0" w:line="3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308"/>
          </w:cols>
          <w:pgMar w:left="292" w:top="128"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IIIV Reports First Quarter Fiscal Year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Page 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5, 2026</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This release contains forward-looking statements that are subject to risks and uncertainties. All statements other than statements of historical fact or relating to present facts or current conditions included in this release are forward-looking statements, including any statements regarding the Company's fiscal 2026 financial outlook for continuing operations and statements of a general economic or industry specific nature. Forward-looking statements give the Company's current expectations and projections relating to its financial condition, results of operations, guidance,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“could have,” “exceed,” “significantly,” “likely” and other words and terms of similar meaning in connection with any discussion of the timing or nature of future operating or financial performance or other events.</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forward-looking statements contained in this release are based on assumptions that we have made in light of the Company's industry experience and its perceptions of historical trends, current conditions, expected future developments and other factors we believe are appropriate under the circumstances. As you review and consider information presented herein, you should understand that these statements are not guarantees of future performance or results. They depend upon future events and are subject to risks, uncertainties (many of which are beyond the Company's control) and assumptions. Factors that could cause actual results to differ from those expressed or implied by our forward-looking statements include, among other things: ongoing and future economic and geopolitical conditions, including the impact of inflation, elevated interest rates, and tariff and trade-related developments, competition in our industry and our ability to compete effectively, regulatory developments, the successful integration of acquired businesses, our ability to execute on our strategy and achieve our goals following the completion of the sale of our Merchant Services Business and Healthcare RCM Business,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further update in Part II, Item 1A - Risk Factors in Quarterly Reports on Form 10-Q we will file hereafter, and the risks and uncertainties identified in other filings filed with the Securities and Exchange Commission from time to time.</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Any forward-looking statement made by us in this release speaks only as of the date of this release and we undertake no obligation to publicly update any forward-looking statement, whether as a result of new information, future developments or otherwise, except as may be required by law.</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Contact: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Clay Whitson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Chief Strategy Officer</w:t>
      </w:r>
    </w:p>
    <w:p>
      <w:pPr>
        <w:spacing w:after="0" w:line="15" w:lineRule="exact"/>
        <w:rPr>
          <w:sz w:val="20"/>
          <w:szCs w:val="20"/>
          <w:color w:val="auto"/>
        </w:rPr>
      </w:pPr>
    </w:p>
    <w:p>
      <w:pPr>
        <w:ind w:left="180" w:right="9320" w:firstLine="8"/>
        <w:spacing w:after="0" w:line="292" w:lineRule="auto"/>
        <w:tabs>
          <w:tab w:leader="none" w:pos="493" w:val="left"/>
        </w:tabs>
        <w:numPr>
          <w:ilvl w:val="0"/>
          <w:numId w:val="6"/>
        </w:numPr>
        <w:rPr>
          <w:rFonts w:ascii="Arial" w:cs="Arial" w:eastAsia="Arial" w:hAnsi="Arial"/>
          <w:sz w:val="12"/>
          <w:szCs w:val="12"/>
          <w:color w:val="auto"/>
        </w:rPr>
      </w:pPr>
      <w:r>
        <w:rPr>
          <w:rFonts w:ascii="Arial" w:cs="Arial" w:eastAsia="Arial" w:hAnsi="Arial"/>
          <w:sz w:val="12"/>
          <w:szCs w:val="12"/>
          <w:color w:val="auto"/>
        </w:rPr>
        <w:t>251-0987 investorrelations@i3verticals.com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300"/>
          </w:cols>
          <w:pgMar w:left="300" w:top="128"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IIIV Reports First Quarter Fiscal Year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Page 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5, 2026</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i3 Verticals, Inc. Consolidated Statements of Operations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in thousands, except share and per share amounts)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80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0"/>
                <w:szCs w:val="10"/>
                <w:b w:val="1"/>
                <w:bCs w:val="1"/>
                <w:color w:val="auto"/>
                <w:w w:val="95"/>
              </w:rPr>
              <w:t>Three Months Ended December 31,</w:t>
            </w:r>
          </w:p>
        </w:tc>
        <w:tc>
          <w:tcPr>
            <w:tcW w:w="760" w:type="dxa"/>
            <w:vAlign w:val="bottom"/>
            <w:tcBorders>
              <w:bottom w:val="single" w:sz="8" w:color="auto"/>
            </w:tcBorders>
          </w:tcPr>
          <w:p>
            <w:pPr>
              <w:spacing w:after="0"/>
              <w:rPr>
                <w:sz w:val="11"/>
                <w:szCs w:val="11"/>
                <w:color w:val="auto"/>
              </w:rPr>
            </w:pPr>
          </w:p>
        </w:tc>
      </w:tr>
      <w:tr>
        <w:trPr>
          <w:trHeight w:val="124"/>
        </w:trPr>
        <w:tc>
          <w:tcPr>
            <w:tcW w:w="808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212"/>
              <w:spacing w:after="0"/>
              <w:rPr>
                <w:sz w:val="20"/>
                <w:szCs w:val="20"/>
                <w:color w:val="auto"/>
              </w:rPr>
            </w:pPr>
            <w:r>
              <w:rPr>
                <w:rFonts w:ascii="Arial" w:cs="Arial" w:eastAsia="Arial" w:hAnsi="Arial"/>
                <w:sz w:val="10"/>
                <w:szCs w:val="10"/>
                <w:b w:val="1"/>
                <w:bCs w:val="1"/>
                <w:color w:val="auto"/>
                <w:w w:val="95"/>
              </w:rPr>
              <w:t>% Change</w:t>
            </w:r>
          </w:p>
        </w:tc>
      </w:tr>
      <w:tr>
        <w:trPr>
          <w:trHeight w:val="89"/>
        </w:trPr>
        <w:tc>
          <w:tcPr>
            <w:tcW w:w="8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35"/>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Revenue</w:t>
            </w: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52,671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52,221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212"/>
              <w:spacing w:after="0"/>
              <w:rPr>
                <w:sz w:val="20"/>
                <w:szCs w:val="20"/>
                <w:color w:val="auto"/>
              </w:rPr>
            </w:pPr>
            <w:r>
              <w:rPr>
                <w:rFonts w:ascii="Arial" w:cs="Arial" w:eastAsia="Arial" w:hAnsi="Arial"/>
                <w:sz w:val="10"/>
                <w:szCs w:val="10"/>
                <w:color w:val="auto"/>
                <w:w w:val="96"/>
              </w:rPr>
              <w:t>1%</w:t>
            </w:r>
          </w:p>
        </w:tc>
      </w:tr>
      <w:tr>
        <w:trPr>
          <w:trHeight w:val="99"/>
        </w:trPr>
        <w:tc>
          <w:tcPr>
            <w:tcW w:w="8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35"/>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expenses</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2"/>
        </w:trPr>
        <w:tc>
          <w:tcPr>
            <w:tcW w:w="8080" w:type="dxa"/>
            <w:vAlign w:val="bottom"/>
          </w:tcPr>
          <w:p>
            <w:pPr>
              <w:ind w:left="100"/>
              <w:spacing w:after="0"/>
              <w:rPr>
                <w:sz w:val="20"/>
                <w:szCs w:val="20"/>
                <w:color w:val="auto"/>
              </w:rPr>
            </w:pPr>
            <w:r>
              <w:rPr>
                <w:rFonts w:ascii="Arial" w:cs="Arial" w:eastAsia="Arial" w:hAnsi="Arial"/>
                <w:sz w:val="10"/>
                <w:szCs w:val="10"/>
                <w:color w:val="auto"/>
              </w:rPr>
              <w:t>Other costs of services (excluding depreciation and amortization)</w:t>
            </w:r>
          </w:p>
        </w:tc>
        <w:tc>
          <w:tcPr>
            <w:tcW w:w="6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7"/>
              </w:rPr>
              <w:t>17,582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7"/>
              </w:rPr>
              <w:t>15,576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192"/>
              <w:spacing w:after="0"/>
              <w:rPr>
                <w:sz w:val="20"/>
                <w:szCs w:val="20"/>
                <w:color w:val="auto"/>
              </w:rPr>
            </w:pPr>
            <w:r>
              <w:rPr>
                <w:rFonts w:ascii="Arial" w:cs="Arial" w:eastAsia="Arial" w:hAnsi="Arial"/>
                <w:sz w:val="10"/>
                <w:szCs w:val="10"/>
                <w:color w:val="auto"/>
                <w:w w:val="99"/>
              </w:rPr>
              <w:t>13%</w:t>
            </w:r>
          </w:p>
        </w:tc>
      </w:tr>
      <w:tr>
        <w:trPr>
          <w:trHeight w:val="138"/>
        </w:trPr>
        <w:tc>
          <w:tcPr>
            <w:tcW w:w="8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Selling, general and administrative</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26,989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26,479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212"/>
              <w:spacing w:after="0"/>
              <w:rPr>
                <w:sz w:val="20"/>
                <w:szCs w:val="20"/>
                <w:color w:val="auto"/>
              </w:rPr>
            </w:pPr>
            <w:r>
              <w:rPr>
                <w:rFonts w:ascii="Arial" w:cs="Arial" w:eastAsia="Arial" w:hAnsi="Arial"/>
                <w:sz w:val="10"/>
                <w:szCs w:val="10"/>
                <w:color w:val="auto"/>
                <w:w w:val="96"/>
              </w:rPr>
              <w:t>2%</w:t>
            </w:r>
          </w:p>
        </w:tc>
      </w:tr>
      <w:tr>
        <w:trPr>
          <w:trHeight w:val="132"/>
        </w:trPr>
        <w:tc>
          <w:tcPr>
            <w:tcW w:w="8080" w:type="dxa"/>
            <w:vAlign w:val="bottom"/>
          </w:tcPr>
          <w:p>
            <w:pPr>
              <w:ind w:left="100"/>
              <w:spacing w:after="0"/>
              <w:rPr>
                <w:sz w:val="20"/>
                <w:szCs w:val="20"/>
                <w:color w:val="auto"/>
              </w:rPr>
            </w:pPr>
            <w:r>
              <w:rPr>
                <w:rFonts w:ascii="Arial" w:cs="Arial" w:eastAsia="Arial" w:hAnsi="Arial"/>
                <w:sz w:val="10"/>
                <w:szCs w:val="10"/>
                <w:color w:val="auto"/>
              </w:rPr>
              <w:t>Depreciation and amortization</w:t>
            </w:r>
          </w:p>
        </w:tc>
        <w:tc>
          <w:tcPr>
            <w:tcW w:w="6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6,865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6,861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212"/>
              <w:spacing w:after="0"/>
              <w:rPr>
                <w:sz w:val="20"/>
                <w:szCs w:val="20"/>
                <w:color w:val="auto"/>
              </w:rPr>
            </w:pPr>
            <w:r>
              <w:rPr>
                <w:rFonts w:ascii="Arial" w:cs="Arial" w:eastAsia="Arial" w:hAnsi="Arial"/>
                <w:sz w:val="10"/>
                <w:szCs w:val="10"/>
                <w:color w:val="auto"/>
                <w:w w:val="95"/>
              </w:rPr>
              <w:t>—%</w:t>
            </w:r>
          </w:p>
        </w:tc>
      </w:tr>
      <w:tr>
        <w:trPr>
          <w:trHeight w:val="138"/>
        </w:trPr>
        <w:tc>
          <w:tcPr>
            <w:tcW w:w="8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Change in fair value of contingent consideration</w:t>
            </w:r>
          </w:p>
        </w:tc>
        <w:tc>
          <w:tcPr>
            <w:tcW w:w="6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(374)</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192"/>
              <w:spacing w:after="0"/>
              <w:rPr>
                <w:sz w:val="20"/>
                <w:szCs w:val="20"/>
                <w:color w:val="auto"/>
              </w:rPr>
            </w:pPr>
            <w:r>
              <w:rPr>
                <w:rFonts w:ascii="Arial" w:cs="Arial" w:eastAsia="Arial" w:hAnsi="Arial"/>
                <w:sz w:val="10"/>
                <w:szCs w:val="10"/>
                <w:color w:val="auto"/>
                <w:w w:val="95"/>
              </w:rPr>
              <w:t>n/m</w:t>
            </w:r>
          </w:p>
        </w:tc>
      </w:tr>
      <w:tr>
        <w:trPr>
          <w:trHeight w:val="121"/>
        </w:trPr>
        <w:tc>
          <w:tcPr>
            <w:tcW w:w="8080" w:type="dxa"/>
            <w:vAlign w:val="bottom"/>
          </w:tcPr>
          <w:p>
            <w:pPr>
              <w:ind w:left="20"/>
              <w:spacing w:after="0"/>
              <w:rPr>
                <w:sz w:val="20"/>
                <w:szCs w:val="20"/>
                <w:color w:val="auto"/>
              </w:rPr>
            </w:pPr>
            <w:r>
              <w:rPr>
                <w:rFonts w:ascii="Arial" w:cs="Arial" w:eastAsia="Arial" w:hAnsi="Arial"/>
                <w:sz w:val="10"/>
                <w:szCs w:val="10"/>
                <w:color w:val="auto"/>
              </w:rPr>
              <w:t>Total operating expenses</w:t>
            </w:r>
          </w:p>
        </w:tc>
        <w:tc>
          <w:tcPr>
            <w:tcW w:w="6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7"/>
              </w:rPr>
              <w:t>51,062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7"/>
              </w:rPr>
              <w:t>50,168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212"/>
              <w:spacing w:after="0"/>
              <w:rPr>
                <w:sz w:val="20"/>
                <w:szCs w:val="20"/>
                <w:color w:val="auto"/>
              </w:rPr>
            </w:pPr>
            <w:r>
              <w:rPr>
                <w:rFonts w:ascii="Arial" w:cs="Arial" w:eastAsia="Arial" w:hAnsi="Arial"/>
                <w:sz w:val="10"/>
                <w:szCs w:val="10"/>
                <w:color w:val="auto"/>
                <w:w w:val="96"/>
              </w:rPr>
              <w:t>2%</w:t>
            </w:r>
          </w:p>
        </w:tc>
      </w:tr>
      <w:tr>
        <w:trPr>
          <w:trHeight w:val="102"/>
        </w:trPr>
        <w:tc>
          <w:tcPr>
            <w:tcW w:w="808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121"/>
        </w:trPr>
        <w:tc>
          <w:tcPr>
            <w:tcW w:w="8080" w:type="dxa"/>
            <w:vAlign w:val="bottom"/>
          </w:tcPr>
          <w:p>
            <w:pPr>
              <w:ind w:left="20"/>
              <w:spacing w:after="0"/>
              <w:rPr>
                <w:sz w:val="20"/>
                <w:szCs w:val="20"/>
                <w:color w:val="auto"/>
              </w:rPr>
            </w:pPr>
            <w:r>
              <w:rPr>
                <w:rFonts w:ascii="Arial" w:cs="Arial" w:eastAsia="Arial" w:hAnsi="Arial"/>
                <w:sz w:val="10"/>
                <w:szCs w:val="10"/>
                <w:color w:val="auto"/>
              </w:rPr>
              <w:t>Income from operations</w:t>
            </w:r>
          </w:p>
        </w:tc>
        <w:tc>
          <w:tcPr>
            <w:tcW w:w="6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1,609</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2,053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212"/>
              <w:spacing w:after="0"/>
              <w:rPr>
                <w:sz w:val="20"/>
                <w:szCs w:val="20"/>
                <w:color w:val="auto"/>
              </w:rPr>
            </w:pPr>
            <w:r>
              <w:rPr>
                <w:rFonts w:ascii="Arial" w:cs="Arial" w:eastAsia="Arial" w:hAnsi="Arial"/>
                <w:sz w:val="10"/>
                <w:szCs w:val="10"/>
                <w:color w:val="auto"/>
                <w:w w:val="97"/>
              </w:rPr>
              <w:t>(22)%</w:t>
            </w:r>
          </w:p>
        </w:tc>
      </w:tr>
      <w:tr>
        <w:trPr>
          <w:trHeight w:val="102"/>
        </w:trPr>
        <w:tc>
          <w:tcPr>
            <w:tcW w:w="80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132"/>
        </w:trPr>
        <w:tc>
          <w:tcPr>
            <w:tcW w:w="8080" w:type="dxa"/>
            <w:vAlign w:val="bottom"/>
          </w:tcPr>
          <w:p>
            <w:pPr>
              <w:ind w:left="20"/>
              <w:spacing w:after="0"/>
              <w:rPr>
                <w:sz w:val="20"/>
                <w:szCs w:val="20"/>
                <w:color w:val="auto"/>
              </w:rPr>
            </w:pPr>
            <w:r>
              <w:rPr>
                <w:rFonts w:ascii="Arial" w:cs="Arial" w:eastAsia="Arial" w:hAnsi="Arial"/>
                <w:sz w:val="10"/>
                <w:szCs w:val="10"/>
                <w:color w:val="auto"/>
              </w:rPr>
              <w:t>Other (income) expenses</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8"/>
        </w:trPr>
        <w:tc>
          <w:tcPr>
            <w:tcW w:w="8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Interest expense</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212"/>
              <w:spacing w:after="0"/>
              <w:rPr>
                <w:sz w:val="20"/>
                <w:szCs w:val="20"/>
                <w:color w:val="auto"/>
              </w:rPr>
            </w:pPr>
            <w:r>
              <w:rPr>
                <w:rFonts w:ascii="Arial" w:cs="Arial" w:eastAsia="Arial" w:hAnsi="Arial"/>
                <w:sz w:val="10"/>
                <w:szCs w:val="10"/>
                <w:color w:val="auto"/>
                <w:w w:val="97"/>
              </w:rPr>
              <w:t>(44)%</w:t>
            </w:r>
          </w:p>
        </w:tc>
      </w:tr>
      <w:tr>
        <w:trPr>
          <w:trHeight w:val="132"/>
        </w:trPr>
        <w:tc>
          <w:tcPr>
            <w:tcW w:w="80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income</w:t>
            </w:r>
          </w:p>
        </w:tc>
        <w:tc>
          <w:tcPr>
            <w:tcW w:w="6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(561)</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(1,826)</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jc w:val="center"/>
              <w:ind w:right="212"/>
              <w:spacing w:after="0"/>
              <w:rPr>
                <w:sz w:val="20"/>
                <w:szCs w:val="20"/>
                <w:color w:val="auto"/>
              </w:rPr>
            </w:pPr>
            <w:r>
              <w:rPr>
                <w:rFonts w:ascii="Arial" w:cs="Arial" w:eastAsia="Arial" w:hAnsi="Arial"/>
                <w:sz w:val="10"/>
                <w:szCs w:val="10"/>
                <w:color w:val="auto"/>
                <w:w w:val="97"/>
              </w:rPr>
              <w:t>(69)%</w:t>
            </w:r>
          </w:p>
        </w:tc>
      </w:tr>
      <w:tr>
        <w:trPr>
          <w:trHeight w:val="127"/>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other income</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212"/>
              <w:spacing w:after="0"/>
              <w:rPr>
                <w:sz w:val="20"/>
                <w:szCs w:val="20"/>
                <w:color w:val="auto"/>
              </w:rPr>
            </w:pPr>
            <w:r>
              <w:rPr>
                <w:rFonts w:ascii="Arial" w:cs="Arial" w:eastAsia="Arial" w:hAnsi="Arial"/>
                <w:sz w:val="10"/>
                <w:szCs w:val="10"/>
                <w:color w:val="auto"/>
                <w:w w:val="97"/>
              </w:rPr>
              <w:t>(84)%</w:t>
            </w:r>
          </w:p>
        </w:tc>
      </w:tr>
      <w:tr>
        <w:trPr>
          <w:trHeight w:val="99"/>
        </w:trPr>
        <w:tc>
          <w:tcPr>
            <w:tcW w:w="808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760" w:type="dxa"/>
            <w:vAlign w:val="bottom"/>
            <w:tcBorders>
              <w:bottom w:val="single" w:sz="8" w:color="CCEEFF"/>
            </w:tcBorders>
          </w:tcPr>
          <w:p>
            <w:pPr>
              <w:spacing w:after="0"/>
              <w:rPr>
                <w:sz w:val="8"/>
                <w:szCs w:val="8"/>
                <w:color w:val="auto"/>
              </w:rPr>
            </w:pPr>
          </w:p>
        </w:tc>
      </w:tr>
      <w:tr>
        <w:trPr>
          <w:trHeight w:val="124"/>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before income taxes</w:t>
            </w:r>
          </w:p>
        </w:tc>
        <w:tc>
          <w:tcPr>
            <w:tcW w:w="6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jc w:val="center"/>
              <w:ind w:right="212"/>
              <w:spacing w:after="0"/>
              <w:rPr>
                <w:sz w:val="20"/>
                <w:szCs w:val="20"/>
                <w:color w:val="auto"/>
              </w:rPr>
            </w:pPr>
            <w:r>
              <w:rPr>
                <w:rFonts w:ascii="Arial" w:cs="Arial" w:eastAsia="Arial" w:hAnsi="Arial"/>
                <w:sz w:val="10"/>
                <w:szCs w:val="10"/>
                <w:color w:val="auto"/>
                <w:w w:val="97"/>
              </w:rPr>
              <w:t>(44)%</w:t>
            </w:r>
          </w:p>
        </w:tc>
      </w:tr>
      <w:tr>
        <w:trPr>
          <w:trHeight w:val="99"/>
        </w:trPr>
        <w:tc>
          <w:tcPr>
            <w:tcW w:w="8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35"/>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Provision for income taxes</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192"/>
              <w:spacing w:after="0"/>
              <w:rPr>
                <w:sz w:val="20"/>
                <w:szCs w:val="20"/>
                <w:color w:val="auto"/>
              </w:rPr>
            </w:pPr>
            <w:r>
              <w:rPr>
                <w:rFonts w:ascii="Arial" w:cs="Arial" w:eastAsia="Arial" w:hAnsi="Arial"/>
                <w:sz w:val="10"/>
                <w:szCs w:val="10"/>
                <w:color w:val="auto"/>
                <w:w w:val="99"/>
              </w:rPr>
              <w:t>72%</w:t>
            </w:r>
          </w:p>
        </w:tc>
      </w:tr>
      <w:tr>
        <w:trPr>
          <w:trHeight w:val="99"/>
        </w:trPr>
        <w:tc>
          <w:tcPr>
            <w:tcW w:w="8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35"/>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from continuing operations</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 income from discontinued operations, net of income taxes</w:t>
            </w:r>
          </w:p>
        </w:tc>
        <w:tc>
          <w:tcPr>
            <w:tcW w:w="6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318</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r>
      <w:tr>
        <w:trPr>
          <w:trHeight w:val="127"/>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212"/>
              <w:spacing w:after="0"/>
              <w:rPr>
                <w:sz w:val="20"/>
                <w:szCs w:val="20"/>
                <w:color w:val="auto"/>
              </w:rPr>
            </w:pPr>
            <w:r>
              <w:rPr>
                <w:rFonts w:ascii="Arial" w:cs="Arial" w:eastAsia="Arial" w:hAnsi="Arial"/>
                <w:sz w:val="10"/>
                <w:szCs w:val="10"/>
                <w:color w:val="auto"/>
                <w:w w:val="97"/>
              </w:rPr>
              <w:t>(70)%</w:t>
            </w:r>
          </w:p>
        </w:tc>
      </w:tr>
      <w:tr>
        <w:trPr>
          <w:trHeight w:val="99"/>
        </w:trPr>
        <w:tc>
          <w:tcPr>
            <w:tcW w:w="8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35"/>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from continuing operations attributable to non-controlling interest</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 income from discontinued operations attributable to non-controlling interest</w:t>
            </w:r>
          </w:p>
        </w:tc>
        <w:tc>
          <w:tcPr>
            <w:tcW w:w="6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r>
      <w:tr>
        <w:trPr>
          <w:trHeight w:val="127"/>
        </w:trPr>
        <w:tc>
          <w:tcPr>
            <w:tcW w:w="8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attributable to non-controlling interest</w:t>
            </w: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212"/>
              <w:spacing w:after="0"/>
              <w:rPr>
                <w:sz w:val="20"/>
                <w:szCs w:val="20"/>
                <w:color w:val="auto"/>
              </w:rPr>
            </w:pPr>
            <w:r>
              <w:rPr>
                <w:rFonts w:ascii="Arial" w:cs="Arial" w:eastAsia="Arial" w:hAnsi="Arial"/>
                <w:sz w:val="10"/>
                <w:szCs w:val="10"/>
                <w:color w:val="auto"/>
                <w:w w:val="97"/>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62865</wp:posOffset>
            </wp:positionV>
            <wp:extent cx="713232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p>
      <w:pPr>
        <w:spacing w:after="0" w:line="103" w:lineRule="exact"/>
        <w:rPr>
          <w:sz w:val="20"/>
          <w:szCs w:val="20"/>
          <w:color w:val="auto"/>
        </w:rPr>
      </w:pPr>
    </w:p>
    <w:p>
      <w:pPr>
        <w:ind w:left="40"/>
        <w:spacing w:after="0"/>
        <w:rPr>
          <w:sz w:val="20"/>
          <w:szCs w:val="20"/>
          <w:color w:val="auto"/>
        </w:rPr>
      </w:pPr>
      <w:r>
        <w:rPr>
          <w:rFonts w:ascii="Arial" w:cs="Arial" w:eastAsia="Arial" w:hAnsi="Arial"/>
          <w:sz w:val="10"/>
          <w:szCs w:val="10"/>
          <w:color w:val="auto"/>
        </w:rPr>
        <w:t>Net income from continuing operations attributable to i3 Verticals, Inc.</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8"/>
          <w:szCs w:val="8"/>
          <w:color w:val="auto"/>
        </w:rPr>
        <w:t>Net (loss) income from discontinued operations attributable to i3 Verticals,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24765</wp:posOffset>
            </wp:positionV>
            <wp:extent cx="713232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0"/>
          <w:szCs w:val="10"/>
          <w:color w:val="auto"/>
        </w:rPr>
        <w:t>Net income attributable to i3 Verticals, Inc.</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800" w:hanging="1005"/>
        <w:spacing w:after="0"/>
        <w:tabs>
          <w:tab w:leader="none" w:pos="1800" w:val="left"/>
        </w:tabs>
        <w:numPr>
          <w:ilvl w:val="0"/>
          <w:numId w:val="7"/>
        </w:numPr>
        <w:rPr>
          <w:rFonts w:ascii="Arial" w:cs="Arial" w:eastAsia="Arial" w:hAnsi="Arial"/>
          <w:sz w:val="10"/>
          <w:szCs w:val="10"/>
          <w:color w:val="auto"/>
        </w:rPr>
      </w:pPr>
      <w:r>
        <w:rPr>
          <w:rFonts w:ascii="Arial" w:cs="Arial" w:eastAsia="Arial" w:hAnsi="Arial"/>
          <w:sz w:val="10"/>
          <w:szCs w:val="10"/>
          <w:color w:val="auto"/>
        </w:rPr>
        <w:t>1,855</w:t>
      </w:r>
    </w:p>
    <w:p>
      <w:pPr>
        <w:spacing w:after="0" w:line="20" w:lineRule="exact"/>
        <w:rPr>
          <w:rFonts w:ascii="Arial" w:cs="Arial" w:eastAsia="Arial" w:hAnsi="Arial"/>
          <w:sz w:val="10"/>
          <w:szCs w:val="10"/>
          <w:color w:val="auto"/>
        </w:rPr>
      </w:pPr>
    </w:p>
    <w:p>
      <w:pPr>
        <w:ind w:left="1880" w:hanging="1068"/>
        <w:spacing w:after="0"/>
        <w:tabs>
          <w:tab w:leader="none" w:pos="1880" w:val="left"/>
        </w:tabs>
        <w:numPr>
          <w:ilvl w:val="1"/>
          <w:numId w:val="7"/>
        </w:numPr>
        <w:rPr>
          <w:rFonts w:ascii="Arial" w:cs="Arial" w:eastAsia="Arial" w:hAnsi="Arial"/>
          <w:sz w:val="10"/>
          <w:szCs w:val="10"/>
          <w:color w:val="auto"/>
        </w:rPr>
      </w:pPr>
      <w:r>
        <w:rPr>
          <w:rFonts w:ascii="Arial" w:cs="Arial" w:eastAsia="Arial" w:hAnsi="Arial"/>
          <w:sz w:val="10"/>
          <w:szCs w:val="10"/>
          <w:color w:val="auto"/>
        </w:rPr>
        <w:t>201</w:t>
      </w:r>
    </w:p>
    <w:p>
      <w:pPr>
        <w:spacing w:after="0" w:line="10" w:lineRule="exact"/>
        <w:rPr>
          <w:sz w:val="20"/>
          <w:szCs w:val="20"/>
          <w:color w:val="auto"/>
        </w:rPr>
      </w:pPr>
    </w:p>
    <w:p>
      <w:pPr>
        <w:spacing w:after="0"/>
        <w:tabs>
          <w:tab w:leader="none" w:pos="780" w:val="left"/>
          <w:tab w:leader="none" w:pos="1060" w:val="left"/>
          <w:tab w:leader="none" w:pos="1780" w:val="left"/>
          <w:tab w:leader="none" w:pos="2500"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484</w:t>
        <w:tab/>
        <w:t>$</w:t>
      </w:r>
      <w:r>
        <w:rPr>
          <w:sz w:val="20"/>
          <w:szCs w:val="20"/>
          <w:color w:val="auto"/>
        </w:rPr>
        <w:tab/>
      </w:r>
      <w:r>
        <w:rPr>
          <w:rFonts w:ascii="Arial" w:cs="Arial" w:eastAsia="Arial" w:hAnsi="Arial"/>
          <w:sz w:val="10"/>
          <w:szCs w:val="10"/>
          <w:color w:val="auto"/>
        </w:rPr>
        <w:t>2,056</w:t>
      </w:r>
      <w:r>
        <w:rPr>
          <w:sz w:val="20"/>
          <w:szCs w:val="20"/>
          <w:color w:val="auto"/>
        </w:rPr>
        <w:tab/>
      </w:r>
      <w:r>
        <w:rPr>
          <w:rFonts w:ascii="Arial" w:cs="Arial" w:eastAsia="Arial" w:hAnsi="Arial"/>
          <w:sz w:val="14"/>
          <w:szCs w:val="14"/>
          <w:color w:val="auto"/>
          <w:vertAlign w:val="subscript"/>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13258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7380" w:space="720"/>
            <w:col w:w="3160"/>
          </w:cols>
          <w:pgMar w:left="300" w:top="128" w:right="339" w:bottom="1440" w:gutter="0" w:footer="0" w:header="0"/>
          <w:type w:val="continuous"/>
        </w:sectPr>
      </w:pPr>
    </w:p>
    <w:tbl>
      <w:tblPr>
        <w:tblLayout w:type="fixed"/>
        <w:tblInd w:w="20" w:type="dxa"/>
        <w:tblCellMar>
          <w:top w:w="0" w:type="dxa"/>
          <w:left w:w="0" w:type="dxa"/>
          <w:bottom w:w="0" w:type="dxa"/>
          <w:right w:w="0" w:type="dxa"/>
        </w:tblCellMar>
      </w:tblPr>
      <w:tr>
        <w:trPr>
          <w:trHeight w:val="13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per share attributable to Class A common stockholders from continuing operations:</w:t>
            </w:r>
          </w:p>
        </w:tc>
        <w:tc>
          <w:tcPr>
            <w:tcW w:w="2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r>
      <w:tr>
        <w:trPr>
          <w:trHeight w:val="132"/>
        </w:trPr>
        <w:tc>
          <w:tcPr>
            <w:tcW w:w="6240" w:type="dxa"/>
            <w:vAlign w:val="bottom"/>
          </w:tcPr>
          <w:p>
            <w:pPr>
              <w:ind w:left="20"/>
              <w:spacing w:after="0"/>
              <w:rPr>
                <w:sz w:val="20"/>
                <w:szCs w:val="20"/>
                <w:color w:val="auto"/>
              </w:rPr>
            </w:pPr>
            <w:r>
              <w:rPr>
                <w:rFonts w:ascii="Arial" w:cs="Arial" w:eastAsia="Arial" w:hAnsi="Arial"/>
                <w:sz w:val="10"/>
                <w:szCs w:val="10"/>
                <w:color w:val="auto"/>
              </w:rPr>
              <w:t>Basic</w:t>
            </w:r>
          </w:p>
        </w:tc>
        <w:tc>
          <w:tcPr>
            <w:tcW w:w="210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0.02</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820" w:type="dxa"/>
            <w:vAlign w:val="bottom"/>
          </w:tcPr>
          <w:p>
            <w:pPr>
              <w:jc w:val="right"/>
              <w:ind w:right="1072"/>
              <w:spacing w:after="0"/>
              <w:rPr>
                <w:sz w:val="20"/>
                <w:szCs w:val="20"/>
                <w:color w:val="auto"/>
              </w:rPr>
            </w:pPr>
            <w:r>
              <w:rPr>
                <w:rFonts w:ascii="Arial" w:cs="Arial" w:eastAsia="Arial" w:hAnsi="Arial"/>
                <w:sz w:val="10"/>
                <w:szCs w:val="10"/>
                <w:color w:val="auto"/>
              </w:rPr>
              <w:t>0.08</w:t>
            </w:r>
          </w:p>
        </w:tc>
      </w:tr>
      <w:tr>
        <w:trPr>
          <w:trHeight w:val="138"/>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Diluted</w:t>
            </w:r>
          </w:p>
        </w:tc>
        <w:tc>
          <w:tcPr>
            <w:tcW w:w="210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0.02</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1820" w:type="dxa"/>
            <w:vAlign w:val="bottom"/>
            <w:shd w:val="clear" w:color="auto" w:fill="CCEEFF"/>
          </w:tcPr>
          <w:p>
            <w:pPr>
              <w:jc w:val="right"/>
              <w:ind w:right="1072"/>
              <w:spacing w:after="0"/>
              <w:rPr>
                <w:sz w:val="20"/>
                <w:szCs w:val="20"/>
                <w:color w:val="auto"/>
              </w:rPr>
            </w:pPr>
            <w:r>
              <w:rPr>
                <w:rFonts w:ascii="Arial" w:cs="Arial" w:eastAsia="Arial" w:hAnsi="Arial"/>
                <w:sz w:val="10"/>
                <w:szCs w:val="10"/>
                <w:color w:val="auto"/>
              </w:rPr>
              <w:t>0.08</w:t>
            </w:r>
          </w:p>
        </w:tc>
      </w:tr>
      <w:tr>
        <w:trPr>
          <w:trHeight w:val="132"/>
        </w:trPr>
        <w:tc>
          <w:tcPr>
            <w:tcW w:w="6240" w:type="dxa"/>
            <w:vAlign w:val="bottom"/>
          </w:tcPr>
          <w:p>
            <w:pPr>
              <w:ind w:left="20"/>
              <w:spacing w:after="0"/>
              <w:rPr>
                <w:sz w:val="20"/>
                <w:szCs w:val="20"/>
                <w:color w:val="auto"/>
              </w:rPr>
            </w:pPr>
            <w:r>
              <w:rPr>
                <w:rFonts w:ascii="Arial" w:cs="Arial" w:eastAsia="Arial" w:hAnsi="Arial"/>
                <w:sz w:val="10"/>
                <w:szCs w:val="10"/>
                <w:color w:val="auto"/>
              </w:rPr>
              <w:t>Net (loss) income per share attributable to Class A common stockholders from discontinued operations:</w:t>
            </w:r>
          </w:p>
        </w:tc>
        <w:tc>
          <w:tcPr>
            <w:tcW w:w="2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138"/>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Basic</w:t>
            </w:r>
          </w:p>
        </w:tc>
        <w:tc>
          <w:tcPr>
            <w:tcW w:w="210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0.00</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1820" w:type="dxa"/>
            <w:vAlign w:val="bottom"/>
            <w:shd w:val="clear" w:color="auto" w:fill="CCEEFF"/>
          </w:tcPr>
          <w:p>
            <w:pPr>
              <w:jc w:val="right"/>
              <w:ind w:right="1072"/>
              <w:spacing w:after="0"/>
              <w:rPr>
                <w:sz w:val="20"/>
                <w:szCs w:val="20"/>
                <w:color w:val="auto"/>
              </w:rPr>
            </w:pPr>
            <w:r>
              <w:rPr>
                <w:rFonts w:ascii="Arial" w:cs="Arial" w:eastAsia="Arial" w:hAnsi="Arial"/>
                <w:sz w:val="10"/>
                <w:szCs w:val="10"/>
                <w:color w:val="auto"/>
              </w:rPr>
              <w:t>0.01</w:t>
            </w:r>
          </w:p>
        </w:tc>
      </w:tr>
      <w:tr>
        <w:trPr>
          <w:trHeight w:val="132"/>
        </w:trPr>
        <w:tc>
          <w:tcPr>
            <w:tcW w:w="6240" w:type="dxa"/>
            <w:vAlign w:val="bottom"/>
          </w:tcPr>
          <w:p>
            <w:pPr>
              <w:ind w:left="20"/>
              <w:spacing w:after="0"/>
              <w:rPr>
                <w:sz w:val="20"/>
                <w:szCs w:val="20"/>
                <w:color w:val="auto"/>
              </w:rPr>
            </w:pPr>
            <w:r>
              <w:rPr>
                <w:rFonts w:ascii="Arial" w:cs="Arial" w:eastAsia="Arial" w:hAnsi="Arial"/>
                <w:sz w:val="10"/>
                <w:szCs w:val="10"/>
                <w:color w:val="auto"/>
              </w:rPr>
              <w:t>Diluted</w:t>
            </w:r>
          </w:p>
        </w:tc>
        <w:tc>
          <w:tcPr>
            <w:tcW w:w="210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0.00</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820" w:type="dxa"/>
            <w:vAlign w:val="bottom"/>
          </w:tcPr>
          <w:p>
            <w:pPr>
              <w:jc w:val="right"/>
              <w:ind w:right="1072"/>
              <w:spacing w:after="0"/>
              <w:rPr>
                <w:sz w:val="20"/>
                <w:szCs w:val="20"/>
                <w:color w:val="auto"/>
              </w:rPr>
            </w:pPr>
            <w:r>
              <w:rPr>
                <w:rFonts w:ascii="Arial" w:cs="Arial" w:eastAsia="Arial" w:hAnsi="Arial"/>
                <w:sz w:val="10"/>
                <w:szCs w:val="10"/>
                <w:color w:val="auto"/>
              </w:rPr>
              <w:t>0.01</w:t>
            </w:r>
          </w:p>
        </w:tc>
      </w:tr>
      <w:tr>
        <w:trPr>
          <w:trHeight w:val="138"/>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Weighted average shares of Class A common stock outstanding:</w:t>
            </w:r>
          </w:p>
        </w:tc>
        <w:tc>
          <w:tcPr>
            <w:tcW w:w="2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r>
      <w:tr>
        <w:trPr>
          <w:trHeight w:val="132"/>
        </w:trPr>
        <w:tc>
          <w:tcPr>
            <w:tcW w:w="6240" w:type="dxa"/>
            <w:vAlign w:val="bottom"/>
          </w:tcPr>
          <w:p>
            <w:pPr>
              <w:ind w:left="20"/>
              <w:spacing w:after="0"/>
              <w:rPr>
                <w:sz w:val="20"/>
                <w:szCs w:val="20"/>
                <w:color w:val="auto"/>
              </w:rPr>
            </w:pPr>
            <w:r>
              <w:rPr>
                <w:rFonts w:ascii="Arial" w:cs="Arial" w:eastAsia="Arial" w:hAnsi="Arial"/>
                <w:sz w:val="10"/>
                <w:szCs w:val="10"/>
                <w:color w:val="auto"/>
              </w:rPr>
              <w:t>Basic, for continuing operations</w:t>
            </w:r>
          </w:p>
        </w:tc>
        <w:tc>
          <w:tcPr>
            <w:tcW w:w="210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23,675,075</w:t>
            </w:r>
          </w:p>
        </w:tc>
        <w:tc>
          <w:tcPr>
            <w:tcW w:w="320" w:type="dxa"/>
            <w:vAlign w:val="bottom"/>
          </w:tcPr>
          <w:p>
            <w:pPr>
              <w:spacing w:after="0"/>
              <w:rPr>
                <w:sz w:val="11"/>
                <w:szCs w:val="11"/>
                <w:color w:val="auto"/>
              </w:rPr>
            </w:pPr>
          </w:p>
        </w:tc>
        <w:tc>
          <w:tcPr>
            <w:tcW w:w="1820" w:type="dxa"/>
            <w:vAlign w:val="bottom"/>
          </w:tcPr>
          <w:p>
            <w:pPr>
              <w:jc w:val="right"/>
              <w:ind w:right="1072"/>
              <w:spacing w:after="0"/>
              <w:rPr>
                <w:sz w:val="20"/>
                <w:szCs w:val="20"/>
                <w:color w:val="auto"/>
              </w:rPr>
            </w:pPr>
            <w:r>
              <w:rPr>
                <w:rFonts w:ascii="Arial" w:cs="Arial" w:eastAsia="Arial" w:hAnsi="Arial"/>
                <w:sz w:val="10"/>
                <w:szCs w:val="10"/>
                <w:color w:val="auto"/>
              </w:rPr>
              <w:t>23,551,352</w:t>
            </w:r>
          </w:p>
        </w:tc>
      </w:tr>
      <w:tr>
        <w:trPr>
          <w:trHeight w:val="138"/>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Diluted, for continuing operations</w:t>
            </w:r>
          </w:p>
        </w:tc>
        <w:tc>
          <w:tcPr>
            <w:tcW w:w="2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25,091,754</w:t>
            </w:r>
          </w:p>
        </w:tc>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072"/>
              <w:spacing w:after="0"/>
              <w:rPr>
                <w:sz w:val="20"/>
                <w:szCs w:val="20"/>
                <w:color w:val="auto"/>
              </w:rPr>
            </w:pPr>
            <w:r>
              <w:rPr>
                <w:rFonts w:ascii="Arial" w:cs="Arial" w:eastAsia="Arial" w:hAnsi="Arial"/>
                <w:sz w:val="10"/>
                <w:szCs w:val="10"/>
                <w:color w:val="auto"/>
              </w:rPr>
              <w:t>34,057,196</w:t>
            </w:r>
          </w:p>
        </w:tc>
      </w:tr>
      <w:tr>
        <w:trPr>
          <w:trHeight w:val="132"/>
        </w:trPr>
        <w:tc>
          <w:tcPr>
            <w:tcW w:w="6240" w:type="dxa"/>
            <w:vAlign w:val="bottom"/>
          </w:tcPr>
          <w:p>
            <w:pPr>
              <w:ind w:left="20"/>
              <w:spacing w:after="0"/>
              <w:rPr>
                <w:sz w:val="20"/>
                <w:szCs w:val="20"/>
                <w:color w:val="auto"/>
              </w:rPr>
            </w:pPr>
            <w:r>
              <w:rPr>
                <w:rFonts w:ascii="Arial" w:cs="Arial" w:eastAsia="Arial" w:hAnsi="Arial"/>
                <w:sz w:val="10"/>
                <w:szCs w:val="10"/>
                <w:color w:val="auto"/>
              </w:rPr>
              <w:t>Basic, for discontinued operations</w:t>
            </w:r>
          </w:p>
        </w:tc>
        <w:tc>
          <w:tcPr>
            <w:tcW w:w="210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23,675,075</w:t>
            </w:r>
          </w:p>
        </w:tc>
        <w:tc>
          <w:tcPr>
            <w:tcW w:w="320" w:type="dxa"/>
            <w:vAlign w:val="bottom"/>
          </w:tcPr>
          <w:p>
            <w:pPr>
              <w:spacing w:after="0"/>
              <w:rPr>
                <w:sz w:val="11"/>
                <w:szCs w:val="11"/>
                <w:color w:val="auto"/>
              </w:rPr>
            </w:pPr>
          </w:p>
        </w:tc>
        <w:tc>
          <w:tcPr>
            <w:tcW w:w="1820" w:type="dxa"/>
            <w:vAlign w:val="bottom"/>
          </w:tcPr>
          <w:p>
            <w:pPr>
              <w:jc w:val="right"/>
              <w:ind w:right="1072"/>
              <w:spacing w:after="0"/>
              <w:rPr>
                <w:sz w:val="20"/>
                <w:szCs w:val="20"/>
                <w:color w:val="auto"/>
              </w:rPr>
            </w:pPr>
            <w:r>
              <w:rPr>
                <w:rFonts w:ascii="Arial" w:cs="Arial" w:eastAsia="Arial" w:hAnsi="Arial"/>
                <w:sz w:val="10"/>
                <w:szCs w:val="10"/>
                <w:color w:val="auto"/>
              </w:rPr>
              <w:t>23,551,352</w:t>
            </w:r>
          </w:p>
        </w:tc>
      </w:tr>
      <w:tr>
        <w:trPr>
          <w:trHeight w:val="138"/>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Diluted, for discontinued operations</w:t>
            </w:r>
          </w:p>
        </w:tc>
        <w:tc>
          <w:tcPr>
            <w:tcW w:w="2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32,056,756</w:t>
            </w:r>
          </w:p>
        </w:tc>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072"/>
              <w:spacing w:after="0"/>
              <w:rPr>
                <w:sz w:val="20"/>
                <w:szCs w:val="20"/>
                <w:color w:val="auto"/>
              </w:rPr>
            </w:pPr>
            <w:r>
              <w:rPr>
                <w:rFonts w:ascii="Arial" w:cs="Arial" w:eastAsia="Arial" w:hAnsi="Arial"/>
                <w:sz w:val="10"/>
                <w:szCs w:val="10"/>
                <w:color w:val="auto"/>
              </w:rPr>
              <w:t>24,031,016</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n/m = not meaningful</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260"/>
          </w:cols>
          <w:pgMar w:left="300" w:top="12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2"/>
          <w:szCs w:val="12"/>
          <w:color w:val="auto"/>
        </w:rPr>
        <w:t>IIIV Reports First Quarter Fiscal Year 2026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Page 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5, 2026</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i3 Verticals, Inc.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ind w:right="35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6"/>
        </w:trPr>
        <w:tc>
          <w:tcPr>
            <w:tcW w:w="83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16"/>
        </w:trPr>
        <w:tc>
          <w:tcPr>
            <w:tcW w:w="838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Assets</w:t>
            </w:r>
          </w:p>
        </w:tc>
        <w:tc>
          <w:tcPr>
            <w:tcW w:w="10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380" w:type="dxa"/>
            <w:vAlign w:val="bottom"/>
          </w:tcPr>
          <w:p>
            <w:pPr>
              <w:ind w:left="80"/>
              <w:spacing w:after="0"/>
              <w:rPr>
                <w:sz w:val="20"/>
                <w:szCs w:val="20"/>
                <w:color w:val="auto"/>
              </w:rPr>
            </w:pPr>
            <w:r>
              <w:rPr>
                <w:rFonts w:ascii="Arial" w:cs="Arial" w:eastAsia="Arial" w:hAnsi="Arial"/>
                <w:sz w:val="10"/>
                <w:szCs w:val="10"/>
                <w:color w:val="auto"/>
              </w:rPr>
              <w:t>Current assets</w:t>
            </w: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Cash and cash equivalents</w:t>
            </w:r>
          </w:p>
        </w:tc>
        <w:tc>
          <w:tcPr>
            <w:tcW w:w="1020" w:type="dxa"/>
            <w:vAlign w:val="bottom"/>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37,523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66,672</w:t>
            </w:r>
          </w:p>
        </w:tc>
        <w:tc>
          <w:tcPr>
            <w:tcW w:w="0" w:type="dxa"/>
            <w:vAlign w:val="bottom"/>
          </w:tcPr>
          <w:p>
            <w:pPr>
              <w:spacing w:after="0"/>
              <w:rPr>
                <w:sz w:val="1"/>
                <w:szCs w:val="1"/>
                <w:color w:val="auto"/>
              </w:rPr>
            </w:pPr>
          </w:p>
        </w:tc>
      </w:tr>
      <w:tr>
        <w:trPr>
          <w:trHeight w:val="132"/>
        </w:trPr>
        <w:tc>
          <w:tcPr>
            <w:tcW w:w="8380" w:type="dxa"/>
            <w:vAlign w:val="bottom"/>
          </w:tcPr>
          <w:p>
            <w:pPr>
              <w:ind w:left="140"/>
              <w:spacing w:after="0"/>
              <w:rPr>
                <w:sz w:val="20"/>
                <w:szCs w:val="20"/>
                <w:color w:val="auto"/>
              </w:rPr>
            </w:pPr>
            <w:r>
              <w:rPr>
                <w:rFonts w:ascii="Arial" w:cs="Arial" w:eastAsia="Arial" w:hAnsi="Arial"/>
                <w:sz w:val="10"/>
                <w:szCs w:val="10"/>
                <w:color w:val="auto"/>
              </w:rPr>
              <w:t>Accounts receivable, net</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47,812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58,467</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Settlement assets</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1,400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w:t>
            </w:r>
          </w:p>
        </w:tc>
        <w:tc>
          <w:tcPr>
            <w:tcW w:w="0" w:type="dxa"/>
            <w:vAlign w:val="bottom"/>
          </w:tcPr>
          <w:p>
            <w:pPr>
              <w:spacing w:after="0"/>
              <w:rPr>
                <w:sz w:val="1"/>
                <w:szCs w:val="1"/>
                <w:color w:val="auto"/>
              </w:rPr>
            </w:pPr>
          </w:p>
        </w:tc>
      </w:tr>
      <w:tr>
        <w:trPr>
          <w:trHeight w:val="132"/>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Prepaid expenses and other current assets</w:t>
            </w:r>
          </w:p>
        </w:tc>
        <w:tc>
          <w:tcPr>
            <w:tcW w:w="10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13,654</w:t>
            </w:r>
          </w:p>
        </w:tc>
        <w:tc>
          <w:tcPr>
            <w:tcW w:w="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12,075</w:t>
            </w:r>
          </w:p>
        </w:tc>
        <w:tc>
          <w:tcPr>
            <w:tcW w:w="0" w:type="dxa"/>
            <w:vAlign w:val="bottom"/>
          </w:tcPr>
          <w:p>
            <w:pPr>
              <w:spacing w:after="0"/>
              <w:rPr>
                <w:sz w:val="1"/>
                <w:szCs w:val="1"/>
                <w:color w:val="auto"/>
              </w:rPr>
            </w:pPr>
          </w:p>
        </w:tc>
      </w:tr>
      <w:tr>
        <w:trPr>
          <w:trHeight w:val="127"/>
        </w:trPr>
        <w:tc>
          <w:tcPr>
            <w:tcW w:w="8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Total current assets</w:t>
            </w:r>
          </w:p>
        </w:tc>
        <w:tc>
          <w:tcPr>
            <w:tcW w:w="10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88"/>
              </w:rPr>
              <w:t>100,389</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137,625</w:t>
            </w:r>
          </w:p>
        </w:tc>
        <w:tc>
          <w:tcPr>
            <w:tcW w:w="0" w:type="dxa"/>
            <w:vAlign w:val="bottom"/>
          </w:tcPr>
          <w:p>
            <w:pPr>
              <w:spacing w:after="0"/>
              <w:rPr>
                <w:sz w:val="1"/>
                <w:szCs w:val="1"/>
                <w:color w:val="auto"/>
              </w:rPr>
            </w:pPr>
          </w:p>
        </w:tc>
      </w:tr>
      <w:tr>
        <w:trPr>
          <w:trHeight w:val="132"/>
        </w:trPr>
        <w:tc>
          <w:tcPr>
            <w:tcW w:w="8380" w:type="dxa"/>
            <w:vAlign w:val="bottom"/>
          </w:tcPr>
          <w:p>
            <w:pPr>
              <w:ind w:left="80"/>
              <w:spacing w:after="0"/>
              <w:rPr>
                <w:sz w:val="20"/>
                <w:szCs w:val="20"/>
                <w:color w:val="auto"/>
              </w:rPr>
            </w:pPr>
            <w:r>
              <w:rPr>
                <w:rFonts w:ascii="Arial" w:cs="Arial" w:eastAsia="Arial" w:hAnsi="Arial"/>
                <w:sz w:val="10"/>
                <w:szCs w:val="10"/>
                <w:color w:val="auto"/>
              </w:rPr>
              <w:t>Property and equipment, net</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6,319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7,181</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Restricted cash</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0" w:type="dxa"/>
            <w:vAlign w:val="bottom"/>
          </w:tcPr>
          <w:p>
            <w:pPr>
              <w:spacing w:after="0"/>
              <w:rPr>
                <w:sz w:val="1"/>
                <w:szCs w:val="1"/>
                <w:color w:val="auto"/>
              </w:rPr>
            </w:pPr>
          </w:p>
        </w:tc>
      </w:tr>
      <w:tr>
        <w:trPr>
          <w:trHeight w:val="132"/>
        </w:trPr>
        <w:tc>
          <w:tcPr>
            <w:tcW w:w="8380" w:type="dxa"/>
            <w:vAlign w:val="bottom"/>
          </w:tcPr>
          <w:p>
            <w:pPr>
              <w:ind w:left="80"/>
              <w:spacing w:after="0"/>
              <w:rPr>
                <w:sz w:val="20"/>
                <w:szCs w:val="20"/>
                <w:color w:val="auto"/>
              </w:rPr>
            </w:pPr>
            <w:r>
              <w:rPr>
                <w:rFonts w:ascii="Arial" w:cs="Arial" w:eastAsia="Arial" w:hAnsi="Arial"/>
                <w:sz w:val="10"/>
                <w:szCs w:val="10"/>
                <w:color w:val="auto"/>
              </w:rPr>
              <w:t>Capitalized software, net</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46,930</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48,314</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Goodwill</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88"/>
              </w:rPr>
              <w:t>248,469</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248,469</w:t>
            </w:r>
          </w:p>
        </w:tc>
        <w:tc>
          <w:tcPr>
            <w:tcW w:w="0" w:type="dxa"/>
            <w:vAlign w:val="bottom"/>
          </w:tcPr>
          <w:p>
            <w:pPr>
              <w:spacing w:after="0"/>
              <w:rPr>
                <w:sz w:val="1"/>
                <w:szCs w:val="1"/>
                <w:color w:val="auto"/>
              </w:rPr>
            </w:pPr>
          </w:p>
        </w:tc>
      </w:tr>
      <w:tr>
        <w:trPr>
          <w:trHeight w:val="132"/>
        </w:trPr>
        <w:tc>
          <w:tcPr>
            <w:tcW w:w="8380" w:type="dxa"/>
            <w:vAlign w:val="bottom"/>
          </w:tcPr>
          <w:p>
            <w:pPr>
              <w:ind w:left="80"/>
              <w:spacing w:after="0"/>
              <w:rPr>
                <w:sz w:val="20"/>
                <w:szCs w:val="20"/>
                <w:color w:val="auto"/>
              </w:rPr>
            </w:pPr>
            <w:r>
              <w:rPr>
                <w:rFonts w:ascii="Arial" w:cs="Arial" w:eastAsia="Arial" w:hAnsi="Arial"/>
                <w:sz w:val="10"/>
                <w:szCs w:val="10"/>
                <w:color w:val="auto"/>
              </w:rPr>
              <w:t>Intangible assets, net</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88"/>
              </w:rPr>
              <w:t>132,938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135,797</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Deferred tax asset</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48,378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49,058</w:t>
            </w:r>
          </w:p>
        </w:tc>
        <w:tc>
          <w:tcPr>
            <w:tcW w:w="0" w:type="dxa"/>
            <w:vAlign w:val="bottom"/>
          </w:tcPr>
          <w:p>
            <w:pPr>
              <w:spacing w:after="0"/>
              <w:rPr>
                <w:sz w:val="1"/>
                <w:szCs w:val="1"/>
                <w:color w:val="auto"/>
              </w:rPr>
            </w:pPr>
          </w:p>
        </w:tc>
      </w:tr>
      <w:tr>
        <w:trPr>
          <w:trHeight w:val="132"/>
        </w:trPr>
        <w:tc>
          <w:tcPr>
            <w:tcW w:w="8380" w:type="dxa"/>
            <w:vAlign w:val="bottom"/>
          </w:tcPr>
          <w:p>
            <w:pPr>
              <w:ind w:left="80"/>
              <w:spacing w:after="0"/>
              <w:rPr>
                <w:sz w:val="20"/>
                <w:szCs w:val="20"/>
                <w:color w:val="auto"/>
              </w:rPr>
            </w:pPr>
            <w:r>
              <w:rPr>
                <w:rFonts w:ascii="Arial" w:cs="Arial" w:eastAsia="Arial" w:hAnsi="Arial"/>
                <w:sz w:val="10"/>
                <w:szCs w:val="10"/>
                <w:color w:val="auto"/>
              </w:rPr>
              <w:t>Operating lease right-of-use assets</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4,473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4,577</w:t>
            </w:r>
          </w:p>
        </w:tc>
        <w:tc>
          <w:tcPr>
            <w:tcW w:w="0" w:type="dxa"/>
            <w:vAlign w:val="bottom"/>
          </w:tcPr>
          <w:p>
            <w:pPr>
              <w:spacing w:after="0"/>
              <w:rPr>
                <w:sz w:val="1"/>
                <w:szCs w:val="1"/>
                <w:color w:val="auto"/>
              </w:rPr>
            </w:pPr>
          </w:p>
        </w:tc>
      </w:tr>
      <w:tr>
        <w:trPr>
          <w:trHeight w:val="135"/>
        </w:trPr>
        <w:tc>
          <w:tcPr>
            <w:tcW w:w="8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 assets</w:t>
            </w:r>
          </w:p>
        </w:tc>
        <w:tc>
          <w:tcPr>
            <w:tcW w:w="10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7,785</w:t>
            </w: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7,140</w:t>
            </w:r>
          </w:p>
        </w:tc>
        <w:tc>
          <w:tcPr>
            <w:tcW w:w="0" w:type="dxa"/>
            <w:vAlign w:val="bottom"/>
          </w:tcPr>
          <w:p>
            <w:pPr>
              <w:spacing w:after="0"/>
              <w:rPr>
                <w:sz w:val="1"/>
                <w:szCs w:val="1"/>
                <w:color w:val="auto"/>
              </w:rPr>
            </w:pPr>
          </w:p>
        </w:tc>
      </w:tr>
      <w:tr>
        <w:trPr>
          <w:trHeight w:val="166"/>
        </w:trPr>
        <w:tc>
          <w:tcPr>
            <w:tcW w:w="83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Total assets</w:t>
            </w:r>
          </w:p>
        </w:tc>
        <w:tc>
          <w:tcPr>
            <w:tcW w:w="1020" w:type="dxa"/>
            <w:vAlign w:val="bottom"/>
            <w:tcBorders>
              <w:bottom w:val="single" w:sz="8" w:color="auto"/>
            </w:tcBorders>
          </w:tcPr>
          <w:p>
            <w:pPr>
              <w:jc w:val="right"/>
              <w:ind w:right="91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88"/>
              </w:rPr>
              <w:t>595,931</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638,411</w:t>
            </w:r>
          </w:p>
        </w:tc>
        <w:tc>
          <w:tcPr>
            <w:tcW w:w="0" w:type="dxa"/>
            <w:vAlign w:val="bottom"/>
          </w:tcPr>
          <w:p>
            <w:pPr>
              <w:spacing w:after="0"/>
              <w:rPr>
                <w:sz w:val="1"/>
                <w:szCs w:val="1"/>
                <w:color w:val="auto"/>
              </w:rPr>
            </w:pPr>
          </w:p>
        </w:tc>
      </w:tr>
      <w:tr>
        <w:trPr>
          <w:trHeight w:val="132"/>
        </w:trPr>
        <w:tc>
          <w:tcPr>
            <w:tcW w:w="8380" w:type="dxa"/>
            <w:vAlign w:val="bottom"/>
            <w:tcBorders>
              <w:top w:val="single" w:sz="8" w:color="CCEEFF"/>
            </w:tcBorders>
          </w:tcPr>
          <w:p>
            <w:pPr>
              <w:spacing w:after="0"/>
              <w:rPr>
                <w:sz w:val="20"/>
                <w:szCs w:val="20"/>
                <w:color w:val="auto"/>
              </w:rPr>
            </w:pPr>
            <w:r>
              <w:rPr>
                <w:rFonts w:ascii="Arial" w:cs="Arial" w:eastAsia="Arial" w:hAnsi="Arial"/>
                <w:sz w:val="10"/>
                <w:szCs w:val="10"/>
                <w:color w:val="auto"/>
              </w:rPr>
              <w:t>Liabilities and equity</w:t>
            </w:r>
          </w:p>
        </w:tc>
        <w:tc>
          <w:tcPr>
            <w:tcW w:w="102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Liabilities</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380" w:type="dxa"/>
            <w:vAlign w:val="bottom"/>
          </w:tcPr>
          <w:p>
            <w:pPr>
              <w:ind w:left="300"/>
              <w:spacing w:after="0"/>
              <w:rPr>
                <w:sz w:val="20"/>
                <w:szCs w:val="20"/>
                <w:color w:val="auto"/>
              </w:rPr>
            </w:pPr>
            <w:r>
              <w:rPr>
                <w:rFonts w:ascii="Arial" w:cs="Arial" w:eastAsia="Arial" w:hAnsi="Arial"/>
                <w:sz w:val="10"/>
                <w:szCs w:val="10"/>
                <w:color w:val="auto"/>
              </w:rPr>
              <w:t>Current liabilities</w:t>
            </w: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Accounts payable</w:t>
            </w:r>
          </w:p>
        </w:tc>
        <w:tc>
          <w:tcPr>
            <w:tcW w:w="1020" w:type="dxa"/>
            <w:vAlign w:val="bottom"/>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4,112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6,248</w:t>
            </w:r>
          </w:p>
        </w:tc>
        <w:tc>
          <w:tcPr>
            <w:tcW w:w="0" w:type="dxa"/>
            <w:vAlign w:val="bottom"/>
          </w:tcPr>
          <w:p>
            <w:pPr>
              <w:spacing w:after="0"/>
              <w:rPr>
                <w:sz w:val="1"/>
                <w:szCs w:val="1"/>
                <w:color w:val="auto"/>
              </w:rPr>
            </w:pPr>
          </w:p>
        </w:tc>
      </w:tr>
      <w:tr>
        <w:trPr>
          <w:trHeight w:val="132"/>
        </w:trPr>
        <w:tc>
          <w:tcPr>
            <w:tcW w:w="8380" w:type="dxa"/>
            <w:vAlign w:val="bottom"/>
          </w:tcPr>
          <w:p>
            <w:pPr>
              <w:ind w:left="360"/>
              <w:spacing w:after="0"/>
              <w:rPr>
                <w:sz w:val="20"/>
                <w:szCs w:val="20"/>
                <w:color w:val="auto"/>
              </w:rPr>
            </w:pPr>
            <w:r>
              <w:rPr>
                <w:rFonts w:ascii="Arial" w:cs="Arial" w:eastAsia="Arial" w:hAnsi="Arial"/>
                <w:sz w:val="10"/>
                <w:szCs w:val="10"/>
                <w:color w:val="auto"/>
              </w:rPr>
              <w:t>Accrued expenses and other current liabilities</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20,743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24,525</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360"/>
              <w:spacing w:after="0"/>
              <w:rPr>
                <w:sz w:val="20"/>
                <w:szCs w:val="20"/>
                <w:color w:val="auto"/>
              </w:rPr>
            </w:pPr>
            <w:r>
              <w:rPr>
                <w:rFonts w:ascii="Arial" w:cs="Arial" w:eastAsia="Arial" w:hAnsi="Arial"/>
                <w:sz w:val="10"/>
                <w:szCs w:val="10"/>
                <w:color w:val="auto"/>
              </w:rPr>
              <w:t>Settlement obligations</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1,400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w:t>
            </w:r>
          </w:p>
        </w:tc>
        <w:tc>
          <w:tcPr>
            <w:tcW w:w="0" w:type="dxa"/>
            <w:vAlign w:val="bottom"/>
          </w:tcPr>
          <w:p>
            <w:pPr>
              <w:spacing w:after="0"/>
              <w:rPr>
                <w:sz w:val="1"/>
                <w:szCs w:val="1"/>
                <w:color w:val="auto"/>
              </w:rPr>
            </w:pPr>
          </w:p>
        </w:tc>
      </w:tr>
      <w:tr>
        <w:trPr>
          <w:trHeight w:val="132"/>
        </w:trPr>
        <w:tc>
          <w:tcPr>
            <w:tcW w:w="8380" w:type="dxa"/>
            <w:vAlign w:val="bottom"/>
          </w:tcPr>
          <w:p>
            <w:pPr>
              <w:ind w:left="360"/>
              <w:spacing w:after="0"/>
              <w:rPr>
                <w:sz w:val="20"/>
                <w:szCs w:val="20"/>
                <w:color w:val="auto"/>
              </w:rPr>
            </w:pPr>
            <w:r>
              <w:rPr>
                <w:rFonts w:ascii="Arial" w:cs="Arial" w:eastAsia="Arial" w:hAnsi="Arial"/>
                <w:sz w:val="10"/>
                <w:szCs w:val="10"/>
                <w:color w:val="auto"/>
              </w:rPr>
              <w:t>Deferred revenue</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34,198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37,678</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Current portion of operating lease liabilities</w:t>
            </w:r>
          </w:p>
        </w:tc>
        <w:tc>
          <w:tcPr>
            <w:tcW w:w="10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1,806</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1,827</w:t>
            </w:r>
          </w:p>
        </w:tc>
        <w:tc>
          <w:tcPr>
            <w:tcW w:w="0" w:type="dxa"/>
            <w:vAlign w:val="bottom"/>
          </w:tcPr>
          <w:p>
            <w:pPr>
              <w:spacing w:after="0"/>
              <w:rPr>
                <w:sz w:val="1"/>
                <w:szCs w:val="1"/>
                <w:color w:val="auto"/>
              </w:rPr>
            </w:pPr>
          </w:p>
        </w:tc>
      </w:tr>
      <w:tr>
        <w:trPr>
          <w:trHeight w:val="121"/>
        </w:trPr>
        <w:tc>
          <w:tcPr>
            <w:tcW w:w="8380" w:type="dxa"/>
            <w:vAlign w:val="bottom"/>
          </w:tcPr>
          <w:p>
            <w:pPr>
              <w:ind w:left="140"/>
              <w:spacing w:after="0"/>
              <w:rPr>
                <w:sz w:val="20"/>
                <w:szCs w:val="20"/>
                <w:color w:val="auto"/>
              </w:rPr>
            </w:pPr>
            <w:r>
              <w:rPr>
                <w:rFonts w:ascii="Arial" w:cs="Arial" w:eastAsia="Arial" w:hAnsi="Arial"/>
                <w:sz w:val="10"/>
                <w:szCs w:val="10"/>
                <w:color w:val="auto"/>
              </w:rPr>
              <w:t>Total current liabilities</w:t>
            </w:r>
          </w:p>
        </w:tc>
        <w:tc>
          <w:tcPr>
            <w:tcW w:w="10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62,259</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70,689</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Long-term tax receivable agreement obligations</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32,386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32,191</w:t>
            </w:r>
          </w:p>
        </w:tc>
        <w:tc>
          <w:tcPr>
            <w:tcW w:w="0" w:type="dxa"/>
            <w:vAlign w:val="bottom"/>
          </w:tcPr>
          <w:p>
            <w:pPr>
              <w:spacing w:after="0"/>
              <w:rPr>
                <w:sz w:val="1"/>
                <w:szCs w:val="1"/>
                <w:color w:val="auto"/>
              </w:rPr>
            </w:pPr>
          </w:p>
        </w:tc>
      </w:tr>
      <w:tr>
        <w:trPr>
          <w:trHeight w:val="132"/>
        </w:trPr>
        <w:tc>
          <w:tcPr>
            <w:tcW w:w="8380" w:type="dxa"/>
            <w:vAlign w:val="bottom"/>
          </w:tcPr>
          <w:p>
            <w:pPr>
              <w:ind w:left="140"/>
              <w:spacing w:after="0"/>
              <w:rPr>
                <w:sz w:val="20"/>
                <w:szCs w:val="20"/>
                <w:color w:val="auto"/>
              </w:rPr>
            </w:pPr>
            <w:r>
              <w:rPr>
                <w:rFonts w:ascii="Arial" w:cs="Arial" w:eastAsia="Arial" w:hAnsi="Arial"/>
                <w:sz w:val="10"/>
                <w:szCs w:val="10"/>
                <w:color w:val="auto"/>
              </w:rPr>
              <w:t>Operating lease liabilities, less current portion</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2,791</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2,964</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long-term liabilities</w:t>
            </w:r>
          </w:p>
        </w:tc>
        <w:tc>
          <w:tcPr>
            <w:tcW w:w="10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15,154</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14,844</w:t>
            </w:r>
          </w:p>
        </w:tc>
        <w:tc>
          <w:tcPr>
            <w:tcW w:w="0" w:type="dxa"/>
            <w:vAlign w:val="bottom"/>
          </w:tcPr>
          <w:p>
            <w:pPr>
              <w:spacing w:after="0"/>
              <w:rPr>
                <w:sz w:val="1"/>
                <w:szCs w:val="1"/>
                <w:color w:val="auto"/>
              </w:rPr>
            </w:pPr>
          </w:p>
        </w:tc>
      </w:tr>
      <w:tr>
        <w:trPr>
          <w:trHeight w:val="121"/>
        </w:trPr>
        <w:tc>
          <w:tcPr>
            <w:tcW w:w="8380" w:type="dxa"/>
            <w:vAlign w:val="bottom"/>
          </w:tcPr>
          <w:p>
            <w:pPr>
              <w:ind w:left="140"/>
              <w:spacing w:after="0"/>
              <w:rPr>
                <w:sz w:val="20"/>
                <w:szCs w:val="20"/>
                <w:color w:val="auto"/>
              </w:rPr>
            </w:pPr>
            <w:r>
              <w:rPr>
                <w:rFonts w:ascii="Arial" w:cs="Arial" w:eastAsia="Arial" w:hAnsi="Arial"/>
                <w:sz w:val="10"/>
                <w:szCs w:val="10"/>
                <w:color w:val="auto"/>
              </w:rPr>
              <w:t>Total liabilities</w:t>
            </w:r>
          </w:p>
        </w:tc>
        <w:tc>
          <w:tcPr>
            <w:tcW w:w="10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88"/>
              </w:rPr>
              <w:t>112,590</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120,688</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spacing w:after="0"/>
              <w:rPr>
                <w:sz w:val="20"/>
                <w:szCs w:val="20"/>
                <w:color w:val="auto"/>
              </w:rPr>
            </w:pPr>
            <w:r>
              <w:rPr>
                <w:rFonts w:ascii="Arial" w:cs="Arial" w:eastAsia="Arial" w:hAnsi="Arial"/>
                <w:sz w:val="10"/>
                <w:szCs w:val="10"/>
                <w:color w:val="auto"/>
              </w:rPr>
              <w:t>Commitments and contingencies</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380" w:type="dxa"/>
            <w:vAlign w:val="bottom"/>
          </w:tcPr>
          <w:p>
            <w:pPr>
              <w:ind w:left="80"/>
              <w:spacing w:after="0"/>
              <w:rPr>
                <w:sz w:val="20"/>
                <w:szCs w:val="20"/>
                <w:color w:val="auto"/>
              </w:rPr>
            </w:pPr>
            <w:r>
              <w:rPr>
                <w:rFonts w:ascii="Arial" w:cs="Arial" w:eastAsia="Arial" w:hAnsi="Arial"/>
                <w:sz w:val="10"/>
                <w:szCs w:val="10"/>
                <w:color w:val="auto"/>
              </w:rPr>
              <w:t>Stockholders' equity</w:t>
            </w: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Preferred stock, par value $0.0001 per share, 10,000,000 shares authorized; 0 shares issued and outstanding as of December 31, 2025 and September 30, 2025</w:t>
            </w:r>
          </w:p>
        </w:tc>
        <w:tc>
          <w:tcPr>
            <w:tcW w:w="10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3"/>
        </w:trPr>
        <w:tc>
          <w:tcPr>
            <w:tcW w:w="8380" w:type="dxa"/>
            <w:vAlign w:val="bottom"/>
          </w:tcPr>
          <w:p>
            <w:pPr>
              <w:ind w:left="140"/>
              <w:spacing w:after="0" w:line="104" w:lineRule="exact"/>
              <w:rPr>
                <w:sz w:val="20"/>
                <w:szCs w:val="20"/>
                <w:color w:val="auto"/>
              </w:rPr>
            </w:pPr>
            <w:r>
              <w:rPr>
                <w:rFonts w:ascii="Arial" w:cs="Arial" w:eastAsia="Arial" w:hAnsi="Arial"/>
                <w:sz w:val="10"/>
                <w:szCs w:val="10"/>
                <w:color w:val="auto"/>
                <w:w w:val="97"/>
              </w:rPr>
              <w:t>Class A common stock, par value $0.0001 per share, 150,000,000 shares authorized; 22,609,537 and 23,983,125 shares issued and outstanding as of December 31, 2025 and September 30,</w:t>
            </w:r>
          </w:p>
        </w:tc>
        <w:tc>
          <w:tcPr>
            <w:tcW w:w="1020" w:type="dxa"/>
            <w:vAlign w:val="bottom"/>
          </w:tcPr>
          <w:p>
            <w:pPr>
              <w:spacing w:after="0"/>
              <w:rPr>
                <w:sz w:val="8"/>
                <w:szCs w:val="8"/>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2"/>
        </w:trPr>
        <w:tc>
          <w:tcPr>
            <w:tcW w:w="8380" w:type="dxa"/>
            <w:vAlign w:val="bottom"/>
          </w:tcPr>
          <w:p>
            <w:pPr>
              <w:ind w:left="140"/>
              <w:spacing w:after="0"/>
              <w:rPr>
                <w:sz w:val="20"/>
                <w:szCs w:val="20"/>
                <w:color w:val="auto"/>
              </w:rPr>
            </w:pPr>
            <w:r>
              <w:rPr>
                <w:rFonts w:ascii="Arial" w:cs="Arial" w:eastAsia="Arial" w:hAnsi="Arial"/>
                <w:sz w:val="10"/>
                <w:szCs w:val="10"/>
                <w:color w:val="auto"/>
              </w:rPr>
              <w:t>2025, respectively</w:t>
            </w:r>
          </w:p>
        </w:tc>
        <w:tc>
          <w:tcPr>
            <w:tcW w:w="10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380" w:type="dxa"/>
            <w:vAlign w:val="bottom"/>
            <w:shd w:val="clear" w:color="auto" w:fill="CCEEFF"/>
          </w:tcPr>
          <w:p>
            <w:pPr>
              <w:ind w:left="140"/>
              <w:spacing w:after="0" w:line="104" w:lineRule="exact"/>
              <w:rPr>
                <w:sz w:val="20"/>
                <w:szCs w:val="20"/>
                <w:color w:val="auto"/>
              </w:rPr>
            </w:pPr>
            <w:r>
              <w:rPr>
                <w:rFonts w:ascii="Arial" w:cs="Arial" w:eastAsia="Arial" w:hAnsi="Arial"/>
                <w:sz w:val="10"/>
                <w:szCs w:val="10"/>
                <w:color w:val="auto"/>
                <w:w w:val="96"/>
              </w:rPr>
              <w:t>Class B common stock, par value $0.0001 per share, 40,000,000 shares authorized; 8,381,681 and 8,381,681 shares issued and outstanding as of December 31, 2025 and September 30, 2025,</w:t>
            </w:r>
          </w:p>
        </w:tc>
        <w:tc>
          <w:tcPr>
            <w:tcW w:w="102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2"/>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respectively</w:t>
            </w:r>
          </w:p>
        </w:tc>
        <w:tc>
          <w:tcPr>
            <w:tcW w:w="102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380" w:type="dxa"/>
            <w:vAlign w:val="bottom"/>
          </w:tcPr>
          <w:p>
            <w:pPr>
              <w:ind w:left="140"/>
              <w:spacing w:after="0"/>
              <w:rPr>
                <w:sz w:val="20"/>
                <w:szCs w:val="20"/>
                <w:color w:val="auto"/>
              </w:rPr>
            </w:pPr>
            <w:r>
              <w:rPr>
                <w:rFonts w:ascii="Arial" w:cs="Arial" w:eastAsia="Arial" w:hAnsi="Arial"/>
                <w:sz w:val="10"/>
                <w:szCs w:val="10"/>
                <w:color w:val="auto"/>
              </w:rPr>
              <w:t>Additional paid-in capital</w:t>
            </w:r>
          </w:p>
        </w:tc>
        <w:tc>
          <w:tcPr>
            <w:tcW w:w="10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88"/>
              </w:rPr>
              <w:t>239,749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271,310</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Accumulated earnings</w:t>
            </w:r>
          </w:p>
        </w:tc>
        <w:tc>
          <w:tcPr>
            <w:tcW w:w="10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88"/>
              </w:rPr>
              <w:t>118,754</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118,270</w:t>
            </w:r>
          </w:p>
        </w:tc>
        <w:tc>
          <w:tcPr>
            <w:tcW w:w="0" w:type="dxa"/>
            <w:vAlign w:val="bottom"/>
          </w:tcPr>
          <w:p>
            <w:pPr>
              <w:spacing w:after="0"/>
              <w:rPr>
                <w:sz w:val="1"/>
                <w:szCs w:val="1"/>
                <w:color w:val="auto"/>
              </w:rPr>
            </w:pPr>
          </w:p>
        </w:tc>
      </w:tr>
      <w:tr>
        <w:trPr>
          <w:trHeight w:val="121"/>
        </w:trPr>
        <w:tc>
          <w:tcPr>
            <w:tcW w:w="838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0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w w:val="88"/>
              </w:rPr>
              <w:t>358,506</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389,583</w:t>
            </w:r>
          </w:p>
        </w:tc>
        <w:tc>
          <w:tcPr>
            <w:tcW w:w="0" w:type="dxa"/>
            <w:vAlign w:val="bottom"/>
          </w:tcPr>
          <w:p>
            <w:pPr>
              <w:spacing w:after="0"/>
              <w:rPr>
                <w:sz w:val="1"/>
                <w:szCs w:val="1"/>
                <w:color w:val="auto"/>
              </w:rPr>
            </w:pPr>
          </w:p>
        </w:tc>
      </w:tr>
      <w:tr>
        <w:trPr>
          <w:trHeight w:val="138"/>
        </w:trPr>
        <w:tc>
          <w:tcPr>
            <w:tcW w:w="838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w:t>
            </w:r>
          </w:p>
        </w:tc>
        <w:tc>
          <w:tcPr>
            <w:tcW w:w="10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88"/>
              </w:rPr>
              <w:t>124,835</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128,140</w:t>
            </w:r>
          </w:p>
        </w:tc>
        <w:tc>
          <w:tcPr>
            <w:tcW w:w="0" w:type="dxa"/>
            <w:vAlign w:val="bottom"/>
          </w:tcPr>
          <w:p>
            <w:pPr>
              <w:spacing w:after="0"/>
              <w:rPr>
                <w:sz w:val="1"/>
                <w:szCs w:val="1"/>
                <w:color w:val="auto"/>
              </w:rPr>
            </w:pPr>
          </w:p>
        </w:tc>
      </w:tr>
      <w:tr>
        <w:trPr>
          <w:trHeight w:val="121"/>
        </w:trPr>
        <w:tc>
          <w:tcPr>
            <w:tcW w:w="83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Total equity</w:t>
            </w: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88"/>
              </w:rPr>
              <w:t>483,341</w:t>
            </w:r>
          </w:p>
        </w:tc>
        <w:tc>
          <w:tcPr>
            <w:tcW w:w="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517,723</w:t>
            </w:r>
          </w:p>
        </w:tc>
        <w:tc>
          <w:tcPr>
            <w:tcW w:w="0" w:type="dxa"/>
            <w:vAlign w:val="bottom"/>
          </w:tcPr>
          <w:p>
            <w:pPr>
              <w:spacing w:after="0"/>
              <w:rPr>
                <w:sz w:val="1"/>
                <w:szCs w:val="1"/>
                <w:color w:val="auto"/>
              </w:rPr>
            </w:pPr>
          </w:p>
        </w:tc>
      </w:tr>
      <w:tr>
        <w:trPr>
          <w:trHeight w:val="143"/>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liabilities and equity</w:t>
            </w:r>
          </w:p>
        </w:tc>
        <w:tc>
          <w:tcPr>
            <w:tcW w:w="10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88"/>
              </w:rPr>
              <w:t>595,931</w:t>
            </w: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638,411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300"/>
          </w:cols>
          <w:pgMar w:left="300" w:top="12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color w:val="auto"/>
        </w:rPr>
        <w:t>IIIV Reports First Quarter Fiscal Year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7</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February 5, 2026</w:t>
      </w: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i3 Verticals, Inc. Consolidated Cash Flow Data</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79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0"/>
                <w:szCs w:val="10"/>
                <w:b w:val="1"/>
                <w:bCs w:val="1"/>
                <w:color w:val="auto"/>
              </w:rPr>
              <w:t>Three Months Ended December 31,</w:t>
            </w:r>
          </w:p>
        </w:tc>
      </w:tr>
      <w:tr>
        <w:trPr>
          <w:trHeight w:val="124"/>
        </w:trPr>
        <w:tc>
          <w:tcPr>
            <w:tcW w:w="79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45"/>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2024</w:t>
            </w:r>
          </w:p>
        </w:tc>
      </w:tr>
      <w:tr>
        <w:trPr>
          <w:trHeight w:val="89"/>
        </w:trPr>
        <w:tc>
          <w:tcPr>
            <w:tcW w:w="7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53"/>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11,495</w:t>
            </w:r>
          </w:p>
        </w:tc>
      </w:tr>
      <w:tr>
        <w:trPr>
          <w:trHeight w:val="153"/>
        </w:trPr>
        <w:tc>
          <w:tcPr>
            <w:tcW w:w="794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(1,832)</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(1,418)</w:t>
            </w:r>
          </w:p>
        </w:tc>
      </w:tr>
      <w:tr>
        <w:trPr>
          <w:trHeight w:val="153"/>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financing activities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(40,451)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(10,467)</w:t>
            </w:r>
          </w:p>
        </w:tc>
      </w:tr>
    </w:tbl>
    <w:p>
      <w:pPr>
        <w:spacing w:after="0" w:line="2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Reconciliation of GAAP to Non-GAAP Financial Measures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discloses the following non-GAAP financial measures in this earnings release:</w:t>
      </w:r>
    </w:p>
    <w:p>
      <w:pPr>
        <w:spacing w:after="0" w:line="78" w:lineRule="exact"/>
        <w:rPr>
          <w:sz w:val="20"/>
          <w:szCs w:val="20"/>
          <w:color w:val="auto"/>
        </w:rPr>
      </w:pPr>
    </w:p>
    <w:p>
      <w:pPr>
        <w:jc w:val="both"/>
        <w:ind w:left="208" w:hanging="208"/>
        <w:spacing w:after="0" w:line="262" w:lineRule="auto"/>
        <w:tabs>
          <w:tab w:leader="none" w:pos="205"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Adjusted Income Before Taxes from Continuing Operations. </w:t>
      </w:r>
      <w:r>
        <w:rPr>
          <w:rFonts w:ascii="Arial" w:cs="Arial" w:eastAsia="Arial" w:hAnsi="Arial"/>
          <w:sz w:val="12"/>
          <w:szCs w:val="12"/>
          <w:color w:val="auto"/>
        </w:rPr>
        <w:t>Adjusted income before taxes from continuing operations equals net income (loss) from continuing operations attributable to i3 Verticals Inc.,</w:t>
      </w:r>
      <w:r>
        <w:rPr>
          <w:rFonts w:ascii="Arial" w:cs="Arial" w:eastAsia="Arial" w:hAnsi="Arial"/>
          <w:sz w:val="12"/>
          <w:szCs w:val="12"/>
          <w:b w:val="1"/>
          <w:bCs w:val="1"/>
          <w:color w:val="auto"/>
        </w:rPr>
        <w:t xml:space="preserve"> </w:t>
      </w:r>
      <w:r>
        <w:rPr>
          <w:rFonts w:ascii="Arial" w:cs="Arial" w:eastAsia="Arial" w:hAnsi="Arial"/>
          <w:sz w:val="12"/>
          <w:szCs w:val="12"/>
          <w:color w:val="auto"/>
        </w:rPr>
        <w:t>adjusted to add back net income (loss) from continuing operations attributable to non-controlling interest and to exclude certain items on a pre-tax basis which the Company believes may not fully reflect our underlying operating performance. The Company believes that this non-GAAP measure provides useful information to investors in understanding and evaluating the Company’s results of continuing operations and ongoing operational performance on a pre-tax basis.</w:t>
      </w:r>
    </w:p>
    <w:p>
      <w:pPr>
        <w:spacing w:after="0" w:line="45" w:lineRule="exact"/>
        <w:rPr>
          <w:rFonts w:ascii="Arial" w:cs="Arial" w:eastAsia="Arial" w:hAnsi="Arial"/>
          <w:sz w:val="12"/>
          <w:szCs w:val="12"/>
          <w:color w:val="auto"/>
        </w:rPr>
      </w:pPr>
    </w:p>
    <w:p>
      <w:pPr>
        <w:jc w:val="both"/>
        <w:ind w:left="208" w:hanging="208"/>
        <w:spacing w:after="0" w:line="257" w:lineRule="auto"/>
        <w:tabs>
          <w:tab w:leader="none" w:pos="205"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Adjusted Net Income from Continuing Operations and Adjusted Diluted Earnings per Share from Continuing Operations. </w:t>
      </w:r>
      <w:r>
        <w:rPr>
          <w:rFonts w:ascii="Arial" w:cs="Arial" w:eastAsia="Arial" w:hAnsi="Arial"/>
          <w:sz w:val="12"/>
          <w:szCs w:val="12"/>
          <w:color w:val="auto"/>
        </w:rPr>
        <w:t>Adjusted net income from continuing operations equals adjusted income</w:t>
      </w:r>
      <w:r>
        <w:rPr>
          <w:rFonts w:ascii="Arial" w:cs="Arial" w:eastAsia="Arial" w:hAnsi="Arial"/>
          <w:sz w:val="12"/>
          <w:szCs w:val="12"/>
          <w:b w:val="1"/>
          <w:bCs w:val="1"/>
          <w:color w:val="auto"/>
        </w:rPr>
        <w:t xml:space="preserve"> </w:t>
      </w:r>
      <w:r>
        <w:rPr>
          <w:rFonts w:ascii="Arial" w:cs="Arial" w:eastAsia="Arial" w:hAnsi="Arial"/>
          <w:sz w:val="12"/>
          <w:szCs w:val="12"/>
          <w:color w:val="auto"/>
        </w:rPr>
        <w:t>before taxes from continuing operations as described above, adjusted to give effect to an effective tax rate of 25%, which reflects our estimated long-term effective tax rate, considering blended federal and state tax rates. Adjusted diluted earnings per share from continuing operations equals adjusted net income from continuing operations divided by our adjusted weighted average shares of adjusted diluted Class A common stock outstanding. The Company believes that these non-GAAP measures provide useful information to investors in understanding and evaluating the Company’s results of continuing operations and ongoing operational performance on a post-tax basis after giving effect to this assumed tax rate. Adjusted Diluted Earnings per Share from Continuing Operations has also been utilized as a metric in connection with performance-based equity awards previously granted by the Company to executives.</w:t>
      </w:r>
    </w:p>
    <w:p>
      <w:pPr>
        <w:spacing w:after="0" w:line="49" w:lineRule="exact"/>
        <w:rPr>
          <w:rFonts w:ascii="Arial" w:cs="Arial" w:eastAsia="Arial" w:hAnsi="Arial"/>
          <w:sz w:val="12"/>
          <w:szCs w:val="12"/>
          <w:color w:val="auto"/>
        </w:rPr>
      </w:pPr>
    </w:p>
    <w:p>
      <w:pPr>
        <w:jc w:val="both"/>
        <w:ind w:left="208" w:hanging="208"/>
        <w:spacing w:after="0" w:line="259" w:lineRule="auto"/>
        <w:tabs>
          <w:tab w:leader="none" w:pos="205"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Adjusted EBITDA from Continuing Operations and Adjusted EBITDA Margin from Continuing Operations. </w:t>
      </w:r>
      <w:r>
        <w:rPr>
          <w:rFonts w:ascii="Arial" w:cs="Arial" w:eastAsia="Arial" w:hAnsi="Arial"/>
          <w:sz w:val="12"/>
          <w:szCs w:val="12"/>
          <w:color w:val="auto"/>
        </w:rPr>
        <w:t>Adjusted EBITDA from continuing operations equals net income (loss) from continuing</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operations attributable to i3 Verticals Inc., before interest, income taxes, depreciation and amortization, adjusted to add back net income (loss) from continuing operations attributable to non-controlling interest, and to exclude certain items which the Company believes do not fully reflect our underlying operating performance. Adjusted EBITDA margin represents adjusted EBITDA as a percentage of revenue. The Company believes that these non-GAAP measures provide useful information to investors in understanding and evaluating the Company’s results of continuing operations and ongoing operational performance. In addition, Adjusted EBITDA and Adjusted EBITDA margin have been metrics utilized in connection with the Company’s short-term annual cash incentive program for executive management.</w:t>
      </w:r>
    </w:p>
    <w:p>
      <w:pPr>
        <w:spacing w:after="0" w:line="47"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Company believes that the disclosure of these non-GAAP financial measures provides investors with useful information in connection with assessing the Company's financial results as described above. In addition, these non-GAAP financial measures are utilized by management to assess the Company's financial results, evaluate the Company's business, manage budgets, allocate resources, and make operational decisions. The Company believes that disclosure of these non-GAAP financial measures provides investors with additional information to help them better understand our financial results just as management utilizes these non-GAAP financial measures as described above. Although these non-GAAP financial measures assist in measuring the Company's financial results and assessing its financial performance, they are not necessarily comparable to similarly titled measures of other companies due to potential inconsistencies in the method of calculation.</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below for reconciliations of the non-GAAP financial measures presented in this release.</w:t>
      </w:r>
    </w:p>
    <w:p>
      <w:pPr>
        <w:spacing w:after="0" w:line="200" w:lineRule="exact"/>
        <w:rPr>
          <w:sz w:val="20"/>
          <w:szCs w:val="20"/>
          <w:color w:val="auto"/>
        </w:rPr>
      </w:pPr>
    </w:p>
    <w:p>
      <w:pPr>
        <w:spacing w:after="0" w:line="3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308"/>
          </w:cols>
          <w:pgMar w:left="292" w:top="128"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color w:val="auto"/>
        </w:rPr>
        <w:t>IIIV Reports First Quarter Fiscal Year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8</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February 5, 2026</w:t>
      </w: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i3 Verticals, Inc. Reconciliation of GAAP Net Income (Loss) from Continuing Operations to</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Non-GAAP Adjusted Net Income from Continuing Operations and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Non-GAAP Adjusted EBITDA from Continuing Operations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in thousands)</w:t>
      </w:r>
    </w:p>
    <w:p>
      <w:pPr>
        <w:spacing w:after="0" w:line="27" w:lineRule="exact"/>
        <w:rPr>
          <w:sz w:val="20"/>
          <w:szCs w:val="20"/>
          <w:color w:val="auto"/>
        </w:rPr>
      </w:pPr>
    </w:p>
    <w:tbl>
      <w:tblPr>
        <w:tblLayout w:type="fixed"/>
        <w:tblInd w:w="28" w:type="dxa"/>
        <w:tblCellMar>
          <w:top w:w="0" w:type="dxa"/>
          <w:left w:w="0" w:type="dxa"/>
          <w:bottom w:w="0" w:type="dxa"/>
          <w:right w:w="0" w:type="dxa"/>
        </w:tblCellMar>
      </w:tblPr>
      <w:tr>
        <w:trPr>
          <w:trHeight w:val="132"/>
        </w:trPr>
        <w:tc>
          <w:tcPr>
            <w:tcW w:w="8960" w:type="dxa"/>
            <w:vAlign w:val="bottom"/>
          </w:tcPr>
          <w:p>
            <w:pPr>
              <w:spacing w:after="0"/>
              <w:rPr>
                <w:sz w:val="11"/>
                <w:szCs w:val="11"/>
                <w:color w:val="auto"/>
              </w:rPr>
            </w:pPr>
          </w:p>
        </w:tc>
        <w:tc>
          <w:tcPr>
            <w:tcW w:w="2300" w:type="dxa"/>
            <w:vAlign w:val="bottom"/>
            <w:tcBorders>
              <w:bottom w:val="single" w:sz="8" w:color="auto"/>
            </w:tcBorders>
            <w:gridSpan w:val="5"/>
          </w:tcPr>
          <w:p>
            <w:pPr>
              <w:jc w:val="right"/>
              <w:ind w:right="306"/>
              <w:spacing w:after="0"/>
              <w:rPr>
                <w:sz w:val="20"/>
                <w:szCs w:val="20"/>
                <w:color w:val="auto"/>
              </w:rPr>
            </w:pPr>
            <w:r>
              <w:rPr>
                <w:rFonts w:ascii="Arial" w:cs="Arial" w:eastAsia="Arial" w:hAnsi="Arial"/>
                <w:sz w:val="10"/>
                <w:szCs w:val="10"/>
                <w:b w:val="1"/>
                <w:bCs w:val="1"/>
                <w:color w:val="auto"/>
              </w:rPr>
              <w:t>Three Months Ended December 31,</w:t>
            </w:r>
          </w:p>
        </w:tc>
      </w:tr>
      <w:tr>
        <w:trPr>
          <w:trHeight w:val="124"/>
        </w:trPr>
        <w:tc>
          <w:tcPr>
            <w:tcW w:w="89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2024</w:t>
            </w:r>
          </w:p>
        </w:tc>
      </w:tr>
      <w:tr>
        <w:trPr>
          <w:trHeight w:val="134"/>
        </w:trPr>
        <w:tc>
          <w:tcPr>
            <w:tcW w:w="89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income from continuing operations attributable to i3 Verticals, Inc.</w:t>
            </w:r>
          </w:p>
        </w:tc>
        <w:tc>
          <w:tcPr>
            <w:tcW w:w="700" w:type="dxa"/>
            <w:vAlign w:val="bottom"/>
            <w:shd w:val="clear" w:color="auto" w:fill="CCEEFF"/>
          </w:tcPr>
          <w:p>
            <w:pPr>
              <w:jc w:val="right"/>
              <w:ind w:right="568"/>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1,855</w:t>
            </w:r>
          </w:p>
        </w:tc>
      </w:tr>
      <w:tr>
        <w:trPr>
          <w:trHeight w:val="143"/>
        </w:trPr>
        <w:tc>
          <w:tcPr>
            <w:tcW w:w="89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Net income from continuing operations attributable to non-controlling interest</w:t>
            </w: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935</w:t>
            </w:r>
          </w:p>
        </w:tc>
      </w:tr>
      <w:tr>
        <w:trPr>
          <w:trHeight w:val="134"/>
        </w:trPr>
        <w:tc>
          <w:tcPr>
            <w:tcW w:w="89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income from continuing operations</w:t>
            </w:r>
          </w:p>
        </w:tc>
        <w:tc>
          <w:tcPr>
            <w:tcW w:w="700" w:type="dxa"/>
            <w:vAlign w:val="bottom"/>
            <w:shd w:val="clear" w:color="auto" w:fill="CCEEFF"/>
          </w:tcPr>
          <w:p>
            <w:pPr>
              <w:jc w:val="right"/>
              <w:ind w:right="568"/>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2,790</w:t>
            </w:r>
          </w:p>
        </w:tc>
      </w:tr>
      <w:tr>
        <w:trPr>
          <w:trHeight w:val="143"/>
        </w:trPr>
        <w:tc>
          <w:tcPr>
            <w:tcW w:w="8960" w:type="dxa"/>
            <w:vAlign w:val="bottom"/>
          </w:tcPr>
          <w:p>
            <w:pPr>
              <w:ind w:left="80"/>
              <w:spacing w:after="0"/>
              <w:rPr>
                <w:sz w:val="20"/>
                <w:szCs w:val="20"/>
                <w:color w:val="auto"/>
              </w:rPr>
            </w:pPr>
            <w:r>
              <w:rPr>
                <w:rFonts w:ascii="Arial" w:cs="Arial" w:eastAsia="Arial" w:hAnsi="Arial"/>
                <w:sz w:val="11"/>
                <w:szCs w:val="11"/>
                <w:color w:val="auto"/>
              </w:rPr>
              <w:t>Non-GAAP adjustments: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5"/>
        </w:trPr>
        <w:tc>
          <w:tcPr>
            <w:tcW w:w="89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Provision for income taxes</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409</w:t>
            </w:r>
          </w:p>
        </w:tc>
      </w:tr>
      <w:tr>
        <w:trPr>
          <w:trHeight w:val="144"/>
        </w:trPr>
        <w:tc>
          <w:tcPr>
            <w:tcW w:w="8960" w:type="dxa"/>
            <w:vAlign w:val="bottom"/>
          </w:tcPr>
          <w:p>
            <w:pPr>
              <w:ind w:left="160"/>
              <w:spacing w:after="0" w:line="144" w:lineRule="exact"/>
              <w:rPr>
                <w:sz w:val="20"/>
                <w:szCs w:val="20"/>
                <w:color w:val="auto"/>
              </w:rPr>
            </w:pPr>
            <w:r>
              <w:rPr>
                <w:rFonts w:ascii="Arial" w:cs="Arial" w:eastAsia="Arial" w:hAnsi="Arial"/>
                <w:sz w:val="11"/>
                <w:szCs w:val="11"/>
                <w:color w:val="auto"/>
              </w:rPr>
              <w:t>Non-cash change in fair value of contingent consideration</w:t>
            </w:r>
            <w:r>
              <w:rPr>
                <w:rFonts w:ascii="Arial" w:cs="Arial" w:eastAsia="Arial" w:hAnsi="Arial"/>
                <w:sz w:val="14"/>
                <w:szCs w:val="14"/>
                <w:color w:val="auto"/>
                <w:vertAlign w:val="superscript"/>
              </w:rPr>
              <w:t>(1)</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1,252</w:t>
            </w:r>
          </w:p>
        </w:tc>
      </w:tr>
      <w:tr>
        <w:trPr>
          <w:trHeight w:val="144"/>
        </w:trPr>
        <w:tc>
          <w:tcPr>
            <w:tcW w:w="8960" w:type="dxa"/>
            <w:vAlign w:val="bottom"/>
            <w:shd w:val="clear" w:color="auto" w:fill="CCEEFF"/>
          </w:tcPr>
          <w:p>
            <w:pPr>
              <w:ind w:left="160"/>
              <w:spacing w:after="0" w:line="144" w:lineRule="exact"/>
              <w:rPr>
                <w:sz w:val="20"/>
                <w:szCs w:val="20"/>
                <w:color w:val="auto"/>
              </w:rPr>
            </w:pPr>
            <w:r>
              <w:rPr>
                <w:rFonts w:ascii="Arial" w:cs="Arial" w:eastAsia="Arial" w:hAnsi="Arial"/>
                <w:sz w:val="11"/>
                <w:szCs w:val="11"/>
                <w:color w:val="auto"/>
              </w:rPr>
              <w:t>Equity-based compensation from continuing operations</w:t>
            </w:r>
            <w:r>
              <w:rPr>
                <w:rFonts w:ascii="Arial" w:cs="Arial" w:eastAsia="Arial" w:hAnsi="Arial"/>
                <w:sz w:val="14"/>
                <w:szCs w:val="14"/>
                <w:color w:val="auto"/>
                <w:vertAlign w:val="superscript"/>
              </w:rPr>
              <w:t>(2)</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3,606</w:t>
            </w:r>
          </w:p>
        </w:tc>
      </w:tr>
      <w:tr>
        <w:trPr>
          <w:trHeight w:val="144"/>
        </w:trPr>
        <w:tc>
          <w:tcPr>
            <w:tcW w:w="8960" w:type="dxa"/>
            <w:vAlign w:val="bottom"/>
          </w:tcPr>
          <w:p>
            <w:pPr>
              <w:ind w:left="160"/>
              <w:spacing w:after="0" w:line="144" w:lineRule="exact"/>
              <w:rPr>
                <w:sz w:val="20"/>
                <w:szCs w:val="20"/>
                <w:color w:val="auto"/>
              </w:rPr>
            </w:pPr>
            <w:r>
              <w:rPr>
                <w:rFonts w:ascii="Arial" w:cs="Arial" w:eastAsia="Arial" w:hAnsi="Arial"/>
                <w:sz w:val="11"/>
                <w:szCs w:val="11"/>
                <w:color w:val="auto"/>
              </w:rPr>
              <w:t>M&amp;A-related activity</w:t>
            </w:r>
            <w:r>
              <w:rPr>
                <w:rFonts w:ascii="Arial" w:cs="Arial" w:eastAsia="Arial" w:hAnsi="Arial"/>
                <w:sz w:val="14"/>
                <w:szCs w:val="14"/>
                <w:color w:val="auto"/>
                <w:vertAlign w:val="superscript"/>
              </w:rPr>
              <w:t>(3)</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52</w:t>
            </w:r>
          </w:p>
        </w:tc>
      </w:tr>
      <w:tr>
        <w:trPr>
          <w:trHeight w:val="144"/>
        </w:trPr>
        <w:tc>
          <w:tcPr>
            <w:tcW w:w="8960" w:type="dxa"/>
            <w:vAlign w:val="bottom"/>
            <w:shd w:val="clear" w:color="auto" w:fill="CCEEFF"/>
          </w:tcPr>
          <w:p>
            <w:pPr>
              <w:ind w:left="160"/>
              <w:spacing w:after="0" w:line="144" w:lineRule="exact"/>
              <w:rPr>
                <w:sz w:val="20"/>
                <w:szCs w:val="20"/>
                <w:color w:val="auto"/>
              </w:rPr>
            </w:pPr>
            <w:r>
              <w:rPr>
                <w:rFonts w:ascii="Arial" w:cs="Arial" w:eastAsia="Arial" w:hAnsi="Arial"/>
                <w:sz w:val="11"/>
                <w:szCs w:val="11"/>
                <w:color w:val="auto"/>
              </w:rPr>
              <w:t>Acquisition intangible amortization</w:t>
            </w:r>
            <w:r>
              <w:rPr>
                <w:rFonts w:ascii="Arial" w:cs="Arial" w:eastAsia="Arial" w:hAnsi="Arial"/>
                <w:sz w:val="14"/>
                <w:szCs w:val="14"/>
                <w:color w:val="auto"/>
                <w:vertAlign w:val="superscript"/>
              </w:rPr>
              <w:t>(4)</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4,226</w:t>
            </w:r>
          </w:p>
        </w:tc>
      </w:tr>
      <w:tr>
        <w:trPr>
          <w:trHeight w:val="144"/>
        </w:trPr>
        <w:tc>
          <w:tcPr>
            <w:tcW w:w="8960" w:type="dxa"/>
            <w:vAlign w:val="bottom"/>
          </w:tcPr>
          <w:p>
            <w:pPr>
              <w:ind w:left="160"/>
              <w:spacing w:after="0" w:line="144" w:lineRule="exact"/>
              <w:rPr>
                <w:sz w:val="20"/>
                <w:szCs w:val="20"/>
                <w:color w:val="auto"/>
              </w:rPr>
            </w:pPr>
            <w:r>
              <w:rPr>
                <w:rFonts w:ascii="Arial" w:cs="Arial" w:eastAsia="Arial" w:hAnsi="Arial"/>
                <w:sz w:val="11"/>
                <w:szCs w:val="11"/>
                <w:color w:val="auto"/>
              </w:rPr>
              <w:t>Non-cash interest expense</w:t>
            </w:r>
            <w:r>
              <w:rPr>
                <w:rFonts w:ascii="Arial" w:cs="Arial" w:eastAsia="Arial" w:hAnsi="Arial"/>
                <w:sz w:val="14"/>
                <w:szCs w:val="14"/>
                <w:color w:val="auto"/>
                <w:vertAlign w:val="superscript"/>
              </w:rPr>
              <w:t>(5)</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280</w:t>
            </w:r>
          </w:p>
        </w:tc>
      </w:tr>
      <w:tr>
        <w:trPr>
          <w:trHeight w:val="144"/>
        </w:trPr>
        <w:tc>
          <w:tcPr>
            <w:tcW w:w="8960" w:type="dxa"/>
            <w:vAlign w:val="bottom"/>
            <w:shd w:val="clear" w:color="auto" w:fill="CCEEFF"/>
          </w:tcPr>
          <w:p>
            <w:pPr>
              <w:ind w:left="160"/>
              <w:spacing w:after="0" w:line="144" w:lineRule="exact"/>
              <w:rPr>
                <w:sz w:val="20"/>
                <w:szCs w:val="20"/>
                <w:color w:val="auto"/>
              </w:rPr>
            </w:pPr>
            <w:r>
              <w:rPr>
                <w:rFonts w:ascii="Arial" w:cs="Arial" w:eastAsia="Arial" w:hAnsi="Arial"/>
                <w:sz w:val="11"/>
                <w:szCs w:val="11"/>
                <w:color w:val="auto"/>
              </w:rPr>
              <w:t>Other taxes</w:t>
            </w:r>
            <w:r>
              <w:rPr>
                <w:rFonts w:ascii="Arial" w:cs="Arial" w:eastAsia="Arial" w:hAnsi="Arial"/>
                <w:sz w:val="14"/>
                <w:szCs w:val="14"/>
                <w:color w:val="auto"/>
                <w:vertAlign w:val="superscript"/>
              </w:rPr>
              <w:t>(6)</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252</w:t>
            </w:r>
          </w:p>
        </w:tc>
      </w:tr>
      <w:tr>
        <w:trPr>
          <w:trHeight w:val="144"/>
        </w:trPr>
        <w:tc>
          <w:tcPr>
            <w:tcW w:w="8960" w:type="dxa"/>
            <w:vAlign w:val="bottom"/>
            <w:tcBorders>
              <w:bottom w:val="single" w:sz="8" w:color="CCEEFF"/>
            </w:tcBorders>
          </w:tcPr>
          <w:p>
            <w:pPr>
              <w:ind w:left="160"/>
              <w:spacing w:after="0" w:line="144" w:lineRule="exact"/>
              <w:rPr>
                <w:sz w:val="20"/>
                <w:szCs w:val="20"/>
                <w:color w:val="auto"/>
              </w:rPr>
            </w:pPr>
            <w:r>
              <w:rPr>
                <w:rFonts w:ascii="Arial" w:cs="Arial" w:eastAsia="Arial" w:hAnsi="Arial"/>
                <w:sz w:val="11"/>
                <w:szCs w:val="11"/>
                <w:color w:val="auto"/>
              </w:rPr>
              <w:t>Loss (gain) on disposal of property and equipment</w:t>
            </w:r>
            <w:r>
              <w:rPr>
                <w:rFonts w:ascii="Arial" w:cs="Arial" w:eastAsia="Arial" w:hAnsi="Arial"/>
                <w:sz w:val="14"/>
                <w:szCs w:val="14"/>
                <w:color w:val="auto"/>
                <w:vertAlign w:val="superscript"/>
              </w:rPr>
              <w:t>(7)</w:t>
            </w: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w:t>
            </w:r>
          </w:p>
        </w:tc>
      </w:tr>
      <w:tr>
        <w:trPr>
          <w:trHeight w:val="133"/>
        </w:trPr>
        <w:tc>
          <w:tcPr>
            <w:tcW w:w="8960" w:type="dxa"/>
            <w:vAlign w:val="bottom"/>
            <w:shd w:val="clear" w:color="auto" w:fill="CCEEFF"/>
          </w:tcPr>
          <w:p>
            <w:pPr>
              <w:spacing w:after="0" w:line="133" w:lineRule="exact"/>
              <w:rPr>
                <w:sz w:val="20"/>
                <w:szCs w:val="20"/>
                <w:color w:val="auto"/>
              </w:rPr>
            </w:pPr>
            <w:r>
              <w:rPr>
                <w:rFonts w:ascii="Arial" w:cs="Arial" w:eastAsia="Arial" w:hAnsi="Arial"/>
                <w:sz w:val="11"/>
                <w:szCs w:val="11"/>
                <w:b w:val="1"/>
                <w:bCs w:val="1"/>
                <w:color w:val="auto"/>
              </w:rPr>
              <w:t>Non-GAAP adjusted income before taxes from continuing operations</w:t>
            </w:r>
            <w:r>
              <w:rPr>
                <w:rFonts w:ascii="Arial" w:cs="Arial" w:eastAsia="Arial" w:hAnsi="Arial"/>
                <w:sz w:val="14"/>
                <w:szCs w:val="14"/>
                <w:b w:val="1"/>
                <w:bCs w:val="1"/>
                <w:color w:val="auto"/>
                <w:vertAlign w:val="superscript"/>
              </w:rPr>
              <w:t>(8)</w:t>
            </w:r>
          </w:p>
        </w:tc>
        <w:tc>
          <w:tcPr>
            <w:tcW w:w="700" w:type="dxa"/>
            <w:vAlign w:val="bottom"/>
            <w:shd w:val="clear" w:color="auto" w:fill="CCEEFF"/>
          </w:tcPr>
          <w:p>
            <w:pPr>
              <w:jc w:val="right"/>
              <w:ind w:right="568"/>
              <w:spacing w:after="0"/>
              <w:rPr>
                <w:sz w:val="20"/>
                <w:szCs w:val="20"/>
                <w:color w:val="auto"/>
              </w:rPr>
            </w:pPr>
            <w:r>
              <w:rPr>
                <w:rFonts w:ascii="Arial" w:cs="Arial" w:eastAsia="Arial" w:hAnsi="Arial"/>
                <w:sz w:val="11"/>
                <w:szCs w:val="11"/>
                <w:b w:val="1"/>
                <w:bCs w:val="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11,448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12,282</w:t>
            </w:r>
          </w:p>
        </w:tc>
      </w:tr>
      <w:tr>
        <w:trPr>
          <w:trHeight w:val="144"/>
        </w:trPr>
        <w:tc>
          <w:tcPr>
            <w:tcW w:w="8960" w:type="dxa"/>
            <w:vAlign w:val="bottom"/>
            <w:tcBorders>
              <w:bottom w:val="single" w:sz="8" w:color="CCEEFF"/>
            </w:tcBorders>
          </w:tcPr>
          <w:p>
            <w:pPr>
              <w:spacing w:after="0" w:line="144" w:lineRule="exact"/>
              <w:rPr>
                <w:sz w:val="20"/>
                <w:szCs w:val="20"/>
                <w:color w:val="auto"/>
              </w:rPr>
            </w:pPr>
            <w:r>
              <w:rPr>
                <w:rFonts w:ascii="Arial" w:cs="Arial" w:eastAsia="Arial" w:hAnsi="Arial"/>
                <w:sz w:val="11"/>
                <w:szCs w:val="11"/>
                <w:color w:val="auto"/>
              </w:rPr>
              <w:t>Estimated taxes at 25%</w:t>
            </w:r>
            <w:r>
              <w:rPr>
                <w:rFonts w:ascii="Arial" w:cs="Arial" w:eastAsia="Arial" w:hAnsi="Arial"/>
                <w:sz w:val="14"/>
                <w:szCs w:val="14"/>
                <w:color w:val="auto"/>
                <w:vertAlign w:val="superscript"/>
              </w:rPr>
              <w:t>(9)</w:t>
            </w: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(2,862)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(3,071)</w:t>
            </w:r>
          </w:p>
        </w:tc>
      </w:tr>
      <w:tr>
        <w:trPr>
          <w:trHeight w:val="133"/>
        </w:trPr>
        <w:tc>
          <w:tcPr>
            <w:tcW w:w="8960" w:type="dxa"/>
            <w:vAlign w:val="bottom"/>
            <w:shd w:val="clear" w:color="auto" w:fill="CCEEFF"/>
          </w:tcPr>
          <w:p>
            <w:pPr>
              <w:spacing w:after="0" w:line="133" w:lineRule="exact"/>
              <w:rPr>
                <w:sz w:val="20"/>
                <w:szCs w:val="20"/>
                <w:color w:val="auto"/>
              </w:rPr>
            </w:pPr>
            <w:r>
              <w:rPr>
                <w:rFonts w:ascii="Arial" w:cs="Arial" w:eastAsia="Arial" w:hAnsi="Arial"/>
                <w:sz w:val="11"/>
                <w:szCs w:val="11"/>
                <w:b w:val="1"/>
                <w:bCs w:val="1"/>
                <w:color w:val="auto"/>
              </w:rPr>
              <w:t>Adjusted net income from continuing operations</w:t>
            </w:r>
            <w:r>
              <w:rPr>
                <w:rFonts w:ascii="Arial" w:cs="Arial" w:eastAsia="Arial" w:hAnsi="Arial"/>
                <w:sz w:val="14"/>
                <w:szCs w:val="14"/>
                <w:b w:val="1"/>
                <w:bCs w:val="1"/>
                <w:color w:val="auto"/>
                <w:vertAlign w:val="superscript"/>
              </w:rPr>
              <w:t>(8)</w:t>
            </w:r>
          </w:p>
        </w:tc>
        <w:tc>
          <w:tcPr>
            <w:tcW w:w="700" w:type="dxa"/>
            <w:vAlign w:val="bottom"/>
            <w:shd w:val="clear" w:color="auto" w:fill="CCEEFF"/>
          </w:tcPr>
          <w:p>
            <w:pPr>
              <w:jc w:val="right"/>
              <w:ind w:right="568"/>
              <w:spacing w:after="0"/>
              <w:rPr>
                <w:sz w:val="20"/>
                <w:szCs w:val="20"/>
                <w:color w:val="auto"/>
              </w:rPr>
            </w:pPr>
            <w:r>
              <w:rPr>
                <w:rFonts w:ascii="Arial" w:cs="Arial" w:eastAsia="Arial" w:hAnsi="Arial"/>
                <w:sz w:val="11"/>
                <w:szCs w:val="11"/>
                <w:b w:val="1"/>
                <w:bCs w:val="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8,586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9,211</w:t>
            </w:r>
          </w:p>
        </w:tc>
      </w:tr>
      <w:tr>
        <w:trPr>
          <w:trHeight w:val="144"/>
        </w:trPr>
        <w:tc>
          <w:tcPr>
            <w:tcW w:w="8960" w:type="dxa"/>
            <w:vAlign w:val="bottom"/>
          </w:tcPr>
          <w:p>
            <w:pPr>
              <w:spacing w:after="0" w:line="144" w:lineRule="exact"/>
              <w:rPr>
                <w:sz w:val="20"/>
                <w:szCs w:val="20"/>
                <w:color w:val="auto"/>
              </w:rPr>
            </w:pPr>
            <w:r>
              <w:rPr>
                <w:rFonts w:ascii="Arial" w:cs="Arial" w:eastAsia="Arial" w:hAnsi="Arial"/>
                <w:sz w:val="11"/>
                <w:szCs w:val="11"/>
                <w:color w:val="auto"/>
              </w:rPr>
              <w:t>Cash interest income, net</w:t>
            </w:r>
            <w:r>
              <w:rPr>
                <w:rFonts w:ascii="Arial" w:cs="Arial" w:eastAsia="Arial" w:hAnsi="Arial"/>
                <w:sz w:val="14"/>
                <w:szCs w:val="14"/>
                <w:color w:val="auto"/>
                <w:vertAlign w:val="superscript"/>
              </w:rPr>
              <w:t>(10)</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(346)</w:t>
            </w:r>
          </w:p>
        </w:tc>
      </w:tr>
      <w:tr>
        <w:trPr>
          <w:trHeight w:val="144"/>
        </w:trPr>
        <w:tc>
          <w:tcPr>
            <w:tcW w:w="896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Estimated taxes at 25%</w:t>
            </w:r>
            <w:r>
              <w:rPr>
                <w:rFonts w:ascii="Arial" w:cs="Arial" w:eastAsia="Arial" w:hAnsi="Arial"/>
                <w:sz w:val="14"/>
                <w:szCs w:val="14"/>
                <w:color w:val="auto"/>
                <w:vertAlign w:val="superscript"/>
              </w:rPr>
              <w:t>(9)</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3,071</w:t>
            </w:r>
          </w:p>
        </w:tc>
      </w:tr>
      <w:tr>
        <w:trPr>
          <w:trHeight w:val="144"/>
        </w:trPr>
        <w:tc>
          <w:tcPr>
            <w:tcW w:w="8960" w:type="dxa"/>
            <w:vAlign w:val="bottom"/>
            <w:tcBorders>
              <w:bottom w:val="single" w:sz="8" w:color="CCEEFF"/>
            </w:tcBorders>
          </w:tcPr>
          <w:p>
            <w:pPr>
              <w:spacing w:after="0" w:line="144" w:lineRule="exact"/>
              <w:rPr>
                <w:sz w:val="20"/>
                <w:szCs w:val="20"/>
                <w:color w:val="auto"/>
              </w:rPr>
            </w:pPr>
            <w:r>
              <w:rPr>
                <w:rFonts w:ascii="Arial" w:cs="Arial" w:eastAsia="Arial" w:hAnsi="Arial"/>
                <w:sz w:val="11"/>
                <w:szCs w:val="11"/>
                <w:color w:val="auto"/>
              </w:rPr>
              <w:t>Depreciation and internally developed software amortization</w:t>
            </w:r>
            <w:r>
              <w:rPr>
                <w:rFonts w:ascii="Arial" w:cs="Arial" w:eastAsia="Arial" w:hAnsi="Arial"/>
                <w:sz w:val="14"/>
                <w:szCs w:val="14"/>
                <w:color w:val="auto"/>
                <w:vertAlign w:val="superscript"/>
              </w:rPr>
              <w:t>(11)</w:t>
            </w: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2,635</w:t>
            </w:r>
          </w:p>
        </w:tc>
      </w:tr>
      <w:tr>
        <w:trPr>
          <w:trHeight w:val="149"/>
        </w:trPr>
        <w:tc>
          <w:tcPr>
            <w:tcW w:w="89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1"/>
                <w:szCs w:val="11"/>
                <w:b w:val="1"/>
                <w:bCs w:val="1"/>
                <w:color w:val="auto"/>
              </w:rPr>
              <w:t>Adjusted EBITDA from continuing operations</w:t>
            </w:r>
            <w:r>
              <w:rPr>
                <w:rFonts w:ascii="Arial" w:cs="Arial" w:eastAsia="Arial" w:hAnsi="Arial"/>
                <w:sz w:val="14"/>
                <w:szCs w:val="14"/>
                <w:b w:val="1"/>
                <w:bCs w:val="1"/>
                <w:color w:val="auto"/>
                <w:vertAlign w:val="superscript"/>
              </w:rPr>
              <w:t>(8)</w:t>
            </w:r>
          </w:p>
        </w:tc>
        <w:tc>
          <w:tcPr>
            <w:tcW w:w="70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13,615</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14,571</w:t>
            </w:r>
          </w:p>
        </w:tc>
      </w:tr>
    </w:tbl>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w:t>
      </w:r>
    </w:p>
    <w:p>
      <w:pPr>
        <w:spacing w:after="0" w:line="21" w:lineRule="exact"/>
        <w:rPr>
          <w:sz w:val="20"/>
          <w:szCs w:val="20"/>
          <w:color w:val="auto"/>
        </w:rPr>
      </w:pPr>
    </w:p>
    <w:p>
      <w:pPr>
        <w:ind w:left="208" w:right="20" w:hanging="208"/>
        <w:spacing w:after="0" w:line="235" w:lineRule="auto"/>
        <w:tabs>
          <w:tab w:leader="none" w:pos="207" w:val="left"/>
        </w:tabs>
        <w:numPr>
          <w:ilvl w:val="0"/>
          <w:numId w:val="9"/>
        </w:numPr>
        <w:rPr>
          <w:rFonts w:ascii="Arial" w:cs="Arial" w:eastAsia="Arial" w:hAnsi="Arial"/>
          <w:sz w:val="10"/>
          <w:szCs w:val="10"/>
          <w:color w:val="auto"/>
        </w:rPr>
      </w:pPr>
      <w:r>
        <w:rPr>
          <w:rFonts w:ascii="Arial" w:cs="Arial" w:eastAsia="Arial" w:hAnsi="Arial"/>
          <w:sz w:val="10"/>
          <w:szCs w:val="10"/>
          <w:color w:val="auto"/>
        </w:rPr>
        <w:t>Non-cash change in fair value of contingent consideration reflects the changes in management’s estimates of future cash consideration to be paid in connection with prior acquisitions from the amount estimated as of the later of the most recent balance sheet date forming the beginning of the income statement period or the original estimates made at the closing of the applicable acquisition.</w:t>
      </w: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Equity-based compensation expense related to stock options and restricted stock units issued under the Company's 2018 Equity Incentive Plan and 2020 Acquisition Equity Incentive Plan.</w:t>
      </w:r>
    </w:p>
    <w:p>
      <w:pPr>
        <w:spacing w:after="0" w:line="2" w:lineRule="exact"/>
        <w:rPr>
          <w:rFonts w:ascii="Arial" w:cs="Arial" w:eastAsia="Arial" w:hAnsi="Arial"/>
          <w:sz w:val="10"/>
          <w:szCs w:val="10"/>
          <w:color w:val="auto"/>
        </w:rPr>
      </w:pPr>
    </w:p>
    <w:p>
      <w:pPr>
        <w:jc w:val="both"/>
        <w:ind w:left="208" w:hanging="208"/>
        <w:spacing w:after="0" w:line="239" w:lineRule="auto"/>
        <w:tabs>
          <w:tab w:leader="none" w:pos="207" w:val="left"/>
        </w:tabs>
        <w:numPr>
          <w:ilvl w:val="0"/>
          <w:numId w:val="9"/>
        </w:numPr>
        <w:rPr>
          <w:rFonts w:ascii="Arial" w:cs="Arial" w:eastAsia="Arial" w:hAnsi="Arial"/>
          <w:sz w:val="10"/>
          <w:szCs w:val="10"/>
          <w:color w:val="auto"/>
        </w:rPr>
      </w:pPr>
      <w:r>
        <w:rPr>
          <w:rFonts w:ascii="Arial" w:cs="Arial" w:eastAsia="Arial" w:hAnsi="Arial"/>
          <w:sz w:val="10"/>
          <w:szCs w:val="10"/>
          <w:color w:val="auto"/>
        </w:rPr>
        <w:t>M&amp;A-related activity is the net impact of professional service and related costs directly related to any merger, acquisition and disposition activity of the Company ("M&amp;A-related expenses"), which are recorded in selling, general and administrative in the condensed consolidated statements of operations, and revenue earned through post-sale non-recurring activities with divestitures ("M&amp;A-related income"), which are recorded in other income in the condensed consolidated statements of operations. i3 Verticals believes these activities are not reflective of the underlying operational performance of the Company. M&amp;A-related income for the three months ended December 31, 2025 and 2024, was $166, and $495 respectively. M&amp;A-related expenses for the three months ended December 31, 2025 and 2024, were $187 and $546, respectively.</w:t>
      </w: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Acquisition intangible amortization reflects amortization of intangible assets and software acquired through acquisitions of business or other purchases of intangible assets.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Non-cash interest expense reflects amortization of debt issuance costs and any write-offs of debt issuance costs.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9"/>
        </w:numPr>
        <w:rPr>
          <w:rFonts w:ascii="Arial" w:cs="Arial" w:eastAsia="Arial" w:hAnsi="Arial"/>
          <w:sz w:val="8"/>
          <w:szCs w:val="8"/>
          <w:color w:val="auto"/>
        </w:rPr>
      </w:pPr>
      <w:r>
        <w:rPr>
          <w:rFonts w:ascii="Arial" w:cs="Arial" w:eastAsia="Arial" w:hAnsi="Arial"/>
          <w:sz w:val="8"/>
          <w:szCs w:val="8"/>
          <w:color w:val="auto"/>
        </w:rPr>
        <w:t>Other taxes consist of franchise taxes, commercial activity taxes, reserves for ongoing tax audit matters, the employer portion of payroll taxes related to stock option exercises and other non-income-based taxes. Taxes related to salaries are not included.</w:t>
      </w:r>
    </w:p>
    <w:p>
      <w:pPr>
        <w:spacing w:after="0" w:line="25" w:lineRule="exact"/>
        <w:rPr>
          <w:rFonts w:ascii="Arial" w:cs="Arial" w:eastAsia="Arial" w:hAnsi="Arial"/>
          <w:sz w:val="8"/>
          <w:szCs w:val="8"/>
          <w:color w:val="auto"/>
        </w:rPr>
      </w:pPr>
    </w:p>
    <w:p>
      <w:pPr>
        <w:ind w:left="208" w:hanging="208"/>
        <w:spacing w:after="0" w:line="225" w:lineRule="auto"/>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Loss (gain) on disposal of property and equipment is related to the sale of buildings and automobiles purchased through acquisitions.</w:t>
      </w: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Represents a non-GAAP financial measure.</w:t>
      </w:r>
    </w:p>
    <w:p>
      <w:pPr>
        <w:spacing w:after="0" w:line="1" w:lineRule="exact"/>
        <w:rPr>
          <w:rFonts w:ascii="Arial" w:cs="Arial" w:eastAsia="Arial" w:hAnsi="Arial"/>
          <w:sz w:val="10"/>
          <w:szCs w:val="10"/>
          <w:color w:val="auto"/>
        </w:rPr>
      </w:pPr>
    </w:p>
    <w:p>
      <w:pPr>
        <w:ind w:left="208" w:hanging="208"/>
        <w:spacing w:after="0" w:line="244" w:lineRule="auto"/>
        <w:tabs>
          <w:tab w:leader="none" w:pos="207" w:val="left"/>
        </w:tabs>
        <w:numPr>
          <w:ilvl w:val="0"/>
          <w:numId w:val="9"/>
        </w:numPr>
        <w:rPr>
          <w:rFonts w:ascii="Arial" w:cs="Arial" w:eastAsia="Arial" w:hAnsi="Arial"/>
          <w:sz w:val="10"/>
          <w:szCs w:val="10"/>
          <w:color w:val="auto"/>
        </w:rPr>
      </w:pPr>
      <w:r>
        <w:rPr>
          <w:rFonts w:ascii="Arial" w:cs="Arial" w:eastAsia="Arial" w:hAnsi="Arial"/>
          <w:sz w:val="10"/>
          <w:szCs w:val="10"/>
          <w:color w:val="auto"/>
        </w:rPr>
        <w:t>Corporate income tax expense is based on non-GAAP adjusted income before taxes from continuing operations and is calculated using a tax rate of 25.0% for both the three months ended December 31, 2025 and 2024, based on the estimated long-term effective tax rate, considering blended federal and state tax rates.</w:t>
      </w:r>
    </w:p>
    <w:p>
      <w:pPr>
        <w:ind w:left="208" w:hanging="208"/>
        <w:spacing w:after="0" w:line="234" w:lineRule="auto"/>
        <w:tabs>
          <w:tab w:leader="none" w:pos="206" w:val="left"/>
        </w:tabs>
        <w:numPr>
          <w:ilvl w:val="0"/>
          <w:numId w:val="9"/>
        </w:numPr>
        <w:rPr>
          <w:rFonts w:ascii="Arial" w:cs="Arial" w:eastAsia="Arial" w:hAnsi="Arial"/>
          <w:sz w:val="10"/>
          <w:szCs w:val="10"/>
          <w:color w:val="auto"/>
        </w:rPr>
      </w:pPr>
      <w:r>
        <w:rPr>
          <w:rFonts w:ascii="Arial" w:cs="Arial" w:eastAsia="Arial" w:hAnsi="Arial"/>
          <w:sz w:val="10"/>
          <w:szCs w:val="10"/>
          <w:color w:val="auto"/>
        </w:rPr>
        <w:t>Cash interest income, net, represents all interest expense net of interest income recorded on the Company's statement of operations other than non-cash interest expense, which represents amortization of debt issuance costs and any write-offs of debt issuance costs.</w:t>
      </w: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Depreciation and internally developed software amortization reflects depreciation on the Company's property, plant and equipment, net, and amortization expense on its internally developed capitalized software.</w:t>
      </w:r>
    </w:p>
    <w:p>
      <w:pPr>
        <w:spacing w:after="0" w:line="200" w:lineRule="exact"/>
        <w:rPr>
          <w:sz w:val="20"/>
          <w:szCs w:val="20"/>
          <w:color w:val="auto"/>
        </w:rPr>
      </w:pPr>
    </w:p>
    <w:p>
      <w:pPr>
        <w:spacing w:after="0" w:line="2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-MORE-</w:t>
      </w:r>
    </w:p>
    <w:p>
      <w:pPr>
        <w:sectPr>
          <w:pgSz w:w="11900" w:h="16838" w:orient="portrait"/>
          <w:cols w:equalWidth="0" w:num="1">
            <w:col w:w="11308"/>
          </w:cols>
          <w:pgMar w:left="292" w:top="128"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color w:val="auto"/>
        </w:rPr>
        <w:t>IIIV Reports First Quarter Fiscal Year 2026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9</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February 5, 2026</w:t>
      </w: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i3 Verticals, Inc. GAAP Diluted EPS from Continuing Operations and</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Non-GAAP Adjusted Diluted EPS from Continuing Operations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in thousands, except share and per share amounts)</w:t>
      </w:r>
    </w:p>
    <w:p>
      <w:pPr>
        <w:spacing w:after="0" w:line="27" w:lineRule="exact"/>
        <w:rPr>
          <w:sz w:val="20"/>
          <w:szCs w:val="20"/>
          <w:color w:val="auto"/>
        </w:rPr>
      </w:pPr>
    </w:p>
    <w:tbl>
      <w:tblPr>
        <w:tblLayout w:type="fixed"/>
        <w:tblInd w:w="28" w:type="dxa"/>
        <w:tblCellMar>
          <w:top w:w="0" w:type="dxa"/>
          <w:left w:w="0" w:type="dxa"/>
          <w:bottom w:w="0" w:type="dxa"/>
          <w:right w:w="0" w:type="dxa"/>
        </w:tblCellMar>
      </w:tblPr>
      <w:tr>
        <w:trPr>
          <w:trHeight w:val="132"/>
        </w:trPr>
        <w:tc>
          <w:tcPr>
            <w:tcW w:w="8340" w:type="dxa"/>
            <w:vAlign w:val="bottom"/>
          </w:tcPr>
          <w:p>
            <w:pPr>
              <w:spacing w:after="0"/>
              <w:rPr>
                <w:sz w:val="11"/>
                <w:szCs w:val="11"/>
                <w:color w:val="auto"/>
              </w:rPr>
            </w:pPr>
          </w:p>
        </w:tc>
        <w:tc>
          <w:tcPr>
            <w:tcW w:w="23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0"/>
                <w:szCs w:val="10"/>
                <w:b w:val="1"/>
                <w:bCs w:val="1"/>
                <w:color w:val="auto"/>
              </w:rPr>
              <w:t>Three Months Ended December 31,</w:t>
            </w:r>
          </w:p>
        </w:tc>
        <w:tc>
          <w:tcPr>
            <w:tcW w:w="600" w:type="dxa"/>
            <w:vAlign w:val="bottom"/>
            <w:tcBorders>
              <w:bottom w:val="single" w:sz="8" w:color="auto"/>
            </w:tcBorders>
          </w:tcPr>
          <w:p>
            <w:pPr>
              <w:spacing w:after="0"/>
              <w:rPr>
                <w:sz w:val="11"/>
                <w:szCs w:val="11"/>
                <w:color w:val="auto"/>
              </w:rPr>
            </w:pPr>
          </w:p>
        </w:tc>
      </w:tr>
      <w:tr>
        <w:trPr>
          <w:trHeight w:val="124"/>
        </w:trPr>
        <w:tc>
          <w:tcPr>
            <w:tcW w:w="83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600" w:type="dxa"/>
            <w:vAlign w:val="bottom"/>
            <w:tcBorders>
              <w:bottom w:val="single" w:sz="8" w:color="auto"/>
            </w:tcBorders>
          </w:tcPr>
          <w:p>
            <w:pPr>
              <w:spacing w:after="0"/>
              <w:rPr>
                <w:sz w:val="10"/>
                <w:szCs w:val="10"/>
                <w:color w:val="auto"/>
              </w:rPr>
            </w:pPr>
          </w:p>
        </w:tc>
      </w:tr>
      <w:tr>
        <w:trPr>
          <w:trHeight w:val="134"/>
        </w:trPr>
        <w:tc>
          <w:tcPr>
            <w:tcW w:w="8340" w:type="dxa"/>
            <w:vAlign w:val="bottom"/>
            <w:shd w:val="clear" w:color="auto" w:fill="CCEEFF"/>
          </w:tcPr>
          <w:p>
            <w:pPr>
              <w:spacing w:after="0" w:line="134" w:lineRule="exact"/>
              <w:rPr>
                <w:sz w:val="20"/>
                <w:szCs w:val="20"/>
                <w:color w:val="auto"/>
              </w:rPr>
            </w:pPr>
            <w:r>
              <w:rPr>
                <w:rFonts w:ascii="Arial" w:cs="Arial" w:eastAsia="Arial" w:hAnsi="Arial"/>
                <w:sz w:val="11"/>
                <w:szCs w:val="11"/>
                <w:color w:val="auto"/>
              </w:rPr>
              <w:t>Diluted net income per share attributable to Class A common stockholders from continuing operations</w:t>
            </w:r>
            <w:r>
              <w:rPr>
                <w:rFonts w:ascii="Arial" w:cs="Arial" w:eastAsia="Arial" w:hAnsi="Arial"/>
                <w:sz w:val="14"/>
                <w:szCs w:val="14"/>
                <w:color w:val="auto"/>
                <w:vertAlign w:val="superscript"/>
              </w:rPr>
              <w:t>(1)</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0.02</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0.08</w:t>
            </w:r>
          </w:p>
        </w:tc>
      </w:tr>
      <w:tr>
        <w:trPr>
          <w:trHeight w:val="144"/>
        </w:trPr>
        <w:tc>
          <w:tcPr>
            <w:tcW w:w="8340" w:type="dxa"/>
            <w:vAlign w:val="bottom"/>
          </w:tcPr>
          <w:p>
            <w:pPr>
              <w:spacing w:after="0" w:line="144" w:lineRule="exact"/>
              <w:rPr>
                <w:sz w:val="20"/>
                <w:szCs w:val="20"/>
                <w:color w:val="auto"/>
              </w:rPr>
            </w:pPr>
            <w:r>
              <w:rPr>
                <w:rFonts w:ascii="Arial" w:cs="Arial" w:eastAsia="Arial" w:hAnsi="Arial"/>
                <w:sz w:val="11"/>
                <w:szCs w:val="11"/>
                <w:color w:val="auto"/>
              </w:rPr>
              <w:t>Adjusted diluted earnings per share from continuing operations</w:t>
            </w:r>
            <w:r>
              <w:rPr>
                <w:rFonts w:ascii="Arial" w:cs="Arial" w:eastAsia="Arial" w:hAnsi="Arial"/>
                <w:sz w:val="14"/>
                <w:szCs w:val="14"/>
                <w:color w:val="auto"/>
                <w:vertAlign w:val="superscript"/>
              </w:rPr>
              <w:t>(2)(3)</w:t>
            </w:r>
          </w:p>
        </w:tc>
        <w:tc>
          <w:tcPr>
            <w:tcW w:w="820" w:type="dxa"/>
            <w:vAlign w:val="bottom"/>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0.26</w:t>
            </w:r>
          </w:p>
        </w:tc>
        <w:tc>
          <w:tcPr>
            <w:tcW w:w="80" w:type="dxa"/>
            <w:vAlign w:val="bottom"/>
          </w:tcPr>
          <w:p>
            <w:pPr>
              <w:spacing w:after="0"/>
              <w:rPr>
                <w:sz w:val="12"/>
                <w:szCs w:val="12"/>
                <w:color w:val="auto"/>
              </w:rPr>
            </w:pPr>
          </w:p>
        </w:tc>
        <w:tc>
          <w:tcPr>
            <w:tcW w:w="820" w:type="dxa"/>
            <w:vAlign w:val="bottom"/>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0.27</w:t>
            </w:r>
          </w:p>
        </w:tc>
      </w:tr>
      <w:tr>
        <w:trPr>
          <w:trHeight w:val="144"/>
        </w:trPr>
        <w:tc>
          <w:tcPr>
            <w:tcW w:w="834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Adjusted net income from continuing operations</w:t>
            </w:r>
            <w:r>
              <w:rPr>
                <w:rFonts w:ascii="Arial" w:cs="Arial" w:eastAsia="Arial" w:hAnsi="Arial"/>
                <w:sz w:val="14"/>
                <w:szCs w:val="14"/>
                <w:color w:val="auto"/>
                <w:vertAlign w:val="superscript"/>
              </w:rPr>
              <w:t>(2)(4)</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8,586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9,211</w:t>
            </w:r>
          </w:p>
        </w:tc>
      </w:tr>
      <w:tr>
        <w:trPr>
          <w:trHeight w:val="189"/>
        </w:trPr>
        <w:tc>
          <w:tcPr>
            <w:tcW w:w="8340" w:type="dxa"/>
            <w:vAlign w:val="bottom"/>
          </w:tcPr>
          <w:p>
            <w:pPr>
              <w:spacing w:after="0"/>
              <w:rPr>
                <w:sz w:val="20"/>
                <w:szCs w:val="20"/>
                <w:color w:val="auto"/>
              </w:rPr>
            </w:pPr>
            <w:r>
              <w:rPr>
                <w:rFonts w:ascii="Arial" w:cs="Arial" w:eastAsia="Arial" w:hAnsi="Arial"/>
                <w:sz w:val="11"/>
                <w:szCs w:val="11"/>
                <w:color w:val="auto"/>
              </w:rPr>
              <w:t>Adjusted weighted average shares of adjusted diluted Class A common stock outstanding</w:t>
            </w:r>
            <w:r>
              <w:rPr>
                <w:rFonts w:ascii="Arial" w:cs="Arial" w:eastAsia="Arial" w:hAnsi="Arial"/>
                <w:sz w:val="14"/>
                <w:szCs w:val="14"/>
                <w:color w:val="auto"/>
                <w:vertAlign w:val="superscript"/>
              </w:rPr>
              <w:t>(2)(5)</w:t>
            </w:r>
          </w:p>
        </w:tc>
        <w:tc>
          <w:tcPr>
            <w:tcW w:w="820" w:type="dxa"/>
            <w:vAlign w:val="bottom"/>
          </w:tcPr>
          <w:p>
            <w:pPr>
              <w:spacing w:after="0"/>
              <w:rPr>
                <w:sz w:val="16"/>
                <w:szCs w:val="16"/>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4"/>
              </w:rPr>
              <w:t>33,473,435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4"/>
              </w:rPr>
              <w:t>34,057,196</w:t>
            </w:r>
          </w:p>
        </w:tc>
      </w:tr>
    </w:tbl>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w:t>
      </w:r>
    </w:p>
    <w:p>
      <w:pPr>
        <w:spacing w:after="0" w:line="21" w:lineRule="exact"/>
        <w:rPr>
          <w:sz w:val="20"/>
          <w:szCs w:val="20"/>
          <w:color w:val="auto"/>
        </w:rPr>
      </w:pPr>
    </w:p>
    <w:p>
      <w:pPr>
        <w:ind w:left="208" w:hanging="208"/>
        <w:spacing w:after="0" w:line="235" w:lineRule="auto"/>
        <w:tabs>
          <w:tab w:leader="none" w:pos="207" w:val="left"/>
        </w:tabs>
        <w:numPr>
          <w:ilvl w:val="0"/>
          <w:numId w:val="10"/>
        </w:numPr>
        <w:rPr>
          <w:rFonts w:ascii="Arial" w:cs="Arial" w:eastAsia="Arial" w:hAnsi="Arial"/>
          <w:sz w:val="10"/>
          <w:szCs w:val="10"/>
          <w:color w:val="auto"/>
        </w:rPr>
      </w:pPr>
      <w:r>
        <w:rPr>
          <w:rFonts w:ascii="Arial" w:cs="Arial" w:eastAsia="Arial" w:hAnsi="Arial"/>
          <w:sz w:val="10"/>
          <w:szCs w:val="10"/>
          <w:color w:val="auto"/>
        </w:rPr>
        <w:t>Diluted net income per share attributable to Class A common stockholders from continuing operations and adjusted diluted earnings per share from continuing operations both exclude the discontinued operations of the Merchant Services Business and the Healthcare RCM Business but include the consolidated cash interest expense.</w:t>
      </w:r>
    </w:p>
    <w:p>
      <w:pPr>
        <w:ind w:left="208" w:hanging="208"/>
        <w:spacing w:after="0" w:line="225" w:lineRule="auto"/>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Represents a non-GAAP financial measure.</w:t>
      </w:r>
    </w:p>
    <w:p>
      <w:pPr>
        <w:jc w:val="both"/>
        <w:ind w:left="208" w:hanging="208"/>
        <w:spacing w:after="0" w:line="225" w:lineRule="auto"/>
        <w:tabs>
          <w:tab w:leader="none" w:pos="207" w:val="left"/>
        </w:tabs>
        <w:numPr>
          <w:ilvl w:val="0"/>
          <w:numId w:val="10"/>
        </w:numPr>
        <w:rPr>
          <w:rFonts w:ascii="Arial" w:cs="Arial" w:eastAsia="Arial" w:hAnsi="Arial"/>
          <w:sz w:val="10"/>
          <w:szCs w:val="10"/>
          <w:color w:val="auto"/>
        </w:rPr>
      </w:pPr>
      <w:r>
        <w:rPr>
          <w:rFonts w:ascii="Arial" w:cs="Arial" w:eastAsia="Arial" w:hAnsi="Arial"/>
          <w:sz w:val="10"/>
          <w:szCs w:val="10"/>
          <w:color w:val="auto"/>
        </w:rPr>
        <w:t>Adjusted diluted earnings per share from continuing operations, a non-GAAP financial measure, is calculated using adjusted net income from continuing operations and the adjusted weighted average shares of adjusted diluted Class A common stock outstanding. Further, adjusted diluted earnings per share from continuing operations assumes that all Common Units in i3 Verticals, LLC and the associated non-voting Class B common stock were exchanged for Class A common stock at the beginning of the period on a one-for-one basis.</w:t>
      </w:r>
    </w:p>
    <w:p>
      <w:pPr>
        <w:ind w:left="208" w:hanging="208"/>
        <w:spacing w:after="0" w:line="225" w:lineRule="auto"/>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Adjusted net income from continuing operations, a non-GAAP financial measure, assumes that all net income from continuing operations during the period is available to the holders of the Company's Class A common stock.</w:t>
      </w:r>
    </w:p>
    <w:p>
      <w:pPr>
        <w:jc w:val="both"/>
        <w:ind w:left="208" w:hanging="208"/>
        <w:spacing w:after="0" w:line="231" w:lineRule="auto"/>
        <w:tabs>
          <w:tab w:leader="none" w:pos="207" w:val="left"/>
        </w:tabs>
        <w:numPr>
          <w:ilvl w:val="0"/>
          <w:numId w:val="10"/>
        </w:numPr>
        <w:rPr>
          <w:rFonts w:ascii="Arial" w:cs="Arial" w:eastAsia="Arial" w:hAnsi="Arial"/>
          <w:sz w:val="10"/>
          <w:szCs w:val="10"/>
          <w:color w:val="auto"/>
        </w:rPr>
      </w:pPr>
      <w:r>
        <w:rPr>
          <w:rFonts w:ascii="Arial" w:cs="Arial" w:eastAsia="Arial" w:hAnsi="Arial"/>
          <w:sz w:val="10"/>
          <w:szCs w:val="10"/>
          <w:color w:val="auto"/>
        </w:rPr>
        <w:t>Adjusted weighted average shares of adjusted diluted Class A common stock outstanding include 8,381,681 and 10,026,180 weighted average outstanding shares of Class B common stock (which can be converted into Class A common stock upon the exchange of the Class B common stock and the associated Common Units in i3 Verticals, LLC) and 1,416,679 and 479,664 shares resulting from estimated stock option exercises and restricted stock units vesting as calculated by the treasury stock method for the three months ended December 31, 2025 and 2024, respectively.</w:t>
      </w: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-END-</w:t>
      </w:r>
    </w:p>
    <w:p>
      <w:pPr>
        <w:sectPr>
          <w:pgSz w:w="11900" w:h="16838" w:orient="portrait"/>
          <w:cols w:equalWidth="0" w:num="1">
            <w:col w:w="11308"/>
          </w:cols>
          <w:pgMar w:left="292" w:top="128" w:right="29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888"/>
    </w:lvl>
  </w:abstractNum>
  <w:abstractNum w:abstractNumId="6">
    <w:nsid w:val="515F007C"/>
    <w:multiLevelType w:val="hybridMultilevel"/>
    <w:lvl w:ilvl="0">
      <w:lvlJc w:val="left"/>
      <w:lvlText w:val="%1"/>
      <w:numFmt w:val="decimal"/>
      <w:start w:val="576"/>
    </w:lvl>
    <w:lvl w:ilvl="1">
      <w:lvlJc w:val="left"/>
      <w:lvlText w:val="(%2)"/>
      <w:numFmt w:val="decimal"/>
      <w:start w:val="9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2026-02-05T15:26:13Z</dcterms:created>
  <dcterms:modified xsi:type="dcterms:W3CDTF">2026-02-05T15:26:13Z</dcterms:modified>
</cp:coreProperties>
</file>